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中国人民大学国际学院金融风险管理</w:t>
      </w:r>
      <w:r>
        <w:rPr>
          <w:b/>
          <w:sz w:val="32"/>
        </w:rPr>
        <w:t>学科简介</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对于现代经济而言，资金是血液，金融是核心，风险及其管理则是其基因和基因工程，投资是以风险换收益，金融机构经营本质及其核心竞争力也在于风险管理。2013年7月，中国人民大学决定在国际学院开设金融硕士（风险管理方向）专业，从而开启了国内首个系统的金融风险管理学科建设项目。基于“国内一流、具有国际影响力”的办学定位，依托人民大学全国排名第一的金融学科，在近百位国内外顶级专家的大力支持下，国际学院成功开设了中国首个面向风险管理方向的金融学科，旨在建立中国一流、具有国际影响力的金融风险管理教育科研基地和政策智库，培养从事金融风险管理相关工作的专业化应用型高级人才，满足各类金融机构和大中型企业日益突出的现代金融风险管理体系建设需求。经过</w:t>
      </w:r>
      <w:r>
        <w:rPr>
          <w:sz w:val="24"/>
          <w:szCs w:val="24"/>
        </w:rPr>
        <w:t>三年多</w:t>
      </w:r>
      <w:r>
        <w:rPr>
          <w:rFonts w:hint="eastAsia"/>
          <w:sz w:val="24"/>
          <w:szCs w:val="24"/>
        </w:rPr>
        <w:t>的</w:t>
      </w:r>
      <w:r>
        <w:rPr>
          <w:sz w:val="24"/>
          <w:szCs w:val="24"/>
        </w:rPr>
        <w:t>努力，金融风险管理</w:t>
      </w:r>
      <w:r>
        <w:rPr>
          <w:rFonts w:hint="eastAsia"/>
          <w:sz w:val="24"/>
          <w:szCs w:val="24"/>
        </w:rPr>
        <w:t>在学科知识体系、师资队伍建设、业界专业资源汇集、科研和学术活动开展、教学模式创新、学生培养、实习管理和就业支持等方面获得了系统性的进展。</w:t>
      </w:r>
    </w:p>
    <w:p>
      <w:pPr>
        <w:spacing w:line="360" w:lineRule="auto"/>
        <w:ind w:firstLine="480" w:firstLineChars="200"/>
        <w:rPr>
          <w:sz w:val="24"/>
          <w:szCs w:val="24"/>
        </w:rPr>
      </w:pPr>
      <w:r>
        <w:rPr>
          <w:rFonts w:hint="eastAsia"/>
          <w:sz w:val="24"/>
          <w:szCs w:val="24"/>
        </w:rPr>
        <w:t>在金融风险管理学科建设的过程中，国际学院邀请在国内外金融风险管理领域有卓越成就和影响力的业界专家（包括海内外高校的学者）成为国际学院兼职教授，并组建了金融风险管理学科建设指导委员会，下设全球顾问委员会（GAB）和金融风险建模全球专家委员会（GEC），主要职能包括：为学科发展提供建议、为专业硕士及博士学生授课、与国际学院师生联合开展科研课题的研究、为学生提供实习基地、指导学生就业等。GAB-GEC年度会议于2014年11月首次</w:t>
      </w:r>
      <w:r>
        <w:rPr>
          <w:sz w:val="24"/>
          <w:szCs w:val="24"/>
        </w:rPr>
        <w:t>举办，已成功举办三届，</w:t>
      </w:r>
      <w:r>
        <w:rPr>
          <w:rFonts w:hint="eastAsia"/>
          <w:sz w:val="24"/>
          <w:szCs w:val="24"/>
        </w:rPr>
        <w:t>显著提高了学科知名度，扩大了学科影响力。</w:t>
      </w:r>
    </w:p>
    <w:p>
      <w:pPr>
        <w:spacing w:line="360" w:lineRule="auto"/>
        <w:ind w:firstLine="480" w:firstLineChars="200"/>
        <w:rPr>
          <w:sz w:val="24"/>
          <w:szCs w:val="24"/>
        </w:rPr>
      </w:pPr>
      <w:r>
        <w:rPr>
          <w:rFonts w:hint="eastAsia"/>
          <w:sz w:val="24"/>
          <w:szCs w:val="24"/>
        </w:rPr>
        <w:t>国际学院利用中国人民大学金融风险管理工作室过去十多年来的专业资源</w:t>
      </w:r>
      <w:r>
        <w:rPr>
          <w:rFonts w:hint="eastAsia" w:asciiTheme="minorEastAsia" w:hAnsiTheme="minorEastAsia" w:eastAsiaTheme="minorEastAsia"/>
          <w:sz w:val="24"/>
          <w:szCs w:val="24"/>
        </w:rPr>
        <w:t>积累和学科建设准备，开设</w:t>
      </w:r>
      <w:r>
        <w:rPr>
          <w:rFonts w:asciiTheme="minorEastAsia" w:hAnsiTheme="minorEastAsia" w:eastAsiaTheme="minorEastAsia"/>
          <w:sz w:val="24"/>
          <w:szCs w:val="24"/>
        </w:rPr>
        <w:t>了系统的硕博</w:t>
      </w:r>
      <w:r>
        <w:rPr>
          <w:rFonts w:hint="eastAsia" w:asciiTheme="minorEastAsia" w:hAnsiTheme="minorEastAsia" w:eastAsiaTheme="minorEastAsia"/>
          <w:sz w:val="24"/>
          <w:szCs w:val="24"/>
        </w:rPr>
        <w:t>课程体系</w:t>
      </w:r>
      <w:r>
        <w:rPr>
          <w:rFonts w:asciiTheme="minorEastAsia" w:hAnsiTheme="minorEastAsia" w:eastAsiaTheme="minorEastAsia"/>
          <w:sz w:val="24"/>
          <w:szCs w:val="24"/>
        </w:rPr>
        <w:t>，</w:t>
      </w:r>
      <w:r>
        <w:rPr>
          <w:rFonts w:hint="eastAsia" w:asciiTheme="minorEastAsia" w:hAnsiTheme="minorEastAsia" w:eastAsiaTheme="minorEastAsia"/>
          <w:sz w:val="24"/>
          <w:szCs w:val="24"/>
        </w:rPr>
        <w:t>建立了自有师资与业界师资协调运作的教学团队，</w:t>
      </w:r>
      <w:r>
        <w:rPr>
          <w:rFonts w:hint="eastAsia"/>
          <w:sz w:val="24"/>
          <w:szCs w:val="24"/>
        </w:rPr>
        <w:t>将一流的专家资源引入课堂，将业界最前沿的实践与探索带到教学实践中，标志着在国际和国内金融业界发展了二三十年、相对较为成熟的现代金融风险管理前沿理论与技术方法首次被系统纳入中国大学的教学和科研体系。</w:t>
      </w:r>
    </w:p>
    <w:p>
      <w:pPr>
        <w:spacing w:line="360" w:lineRule="auto"/>
        <w:ind w:firstLine="480" w:firstLineChars="200"/>
        <w:rPr>
          <w:sz w:val="24"/>
          <w:szCs w:val="24"/>
        </w:rPr>
      </w:pPr>
      <w:r>
        <w:rPr>
          <w:rFonts w:hint="eastAsia"/>
          <w:sz w:val="24"/>
          <w:szCs w:val="24"/>
        </w:rPr>
        <w:t>对于硕士生培养，学院创造性地提出自主性研究型培养模式，采用“双轨”运行机制与“三基6+2”模式下的课程教学，依据“3+1+1+1”结构组建高效的课程运作团队，建立学生兴趣小组，从而将学生自主学习与研究和专家授课与指导有机结合起来，使学生在牢固掌握“三基”知识的基础上，实现“五大技能”提升，成为优秀的金融风险管理人才。学院针对研究生培养周期较短，风险管理学科内容强度大的情况，设立录取后至入学前的远程学习课程，有效扩展了培养期间。此外，学院还为学生设立了充足的奖学金，加强实习管理和就业支出，进行有效的品格培养与学风建设引导，为学生创造出良好的学习、生活与发展环境。</w:t>
      </w:r>
    </w:p>
    <w:p>
      <w:pPr>
        <w:spacing w:line="360" w:lineRule="auto"/>
        <w:jc w:val="center"/>
        <w:rPr>
          <w:sz w:val="24"/>
          <w:szCs w:val="24"/>
        </w:rPr>
      </w:pPr>
      <w:r>
        <w:rPr>
          <w:rFonts w:hint="eastAsia" w:ascii="宋体" w:hAnsi="宋体" w:cs="宋体"/>
          <w:sz w:val="24"/>
          <w:szCs w:val="24"/>
        </w:rPr>
        <w:drawing>
          <wp:inline distT="0" distB="0" distL="0" distR="0">
            <wp:extent cx="5272405" cy="4513580"/>
            <wp:effectExtent l="0" t="0" r="444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 cstate="print"/>
                    <a:srcRect/>
                    <a:stretch>
                      <a:fillRect/>
                    </a:stretch>
                  </pic:blipFill>
                  <pic:spPr>
                    <a:xfrm>
                      <a:off x="0" y="0"/>
                      <a:ext cx="5272405" cy="4513580"/>
                    </a:xfrm>
                    <a:prstGeom prst="rect">
                      <a:avLst/>
                    </a:prstGeom>
                    <a:noFill/>
                    <a:ln w="9525">
                      <a:noFill/>
                      <a:miter lim="800000"/>
                      <a:headEnd/>
                      <a:tailEnd/>
                    </a:ln>
                  </pic:spPr>
                </pic:pic>
              </a:graphicData>
            </a:graphic>
          </wp:inline>
        </w:drawing>
      </w:r>
    </w:p>
    <w:p>
      <w:pPr>
        <w:tabs>
          <w:tab w:val="left" w:pos="3450"/>
        </w:tabs>
        <w:spacing w:line="360" w:lineRule="auto"/>
        <w:ind w:firstLine="480" w:firstLineChars="200"/>
        <w:rPr>
          <w:rFonts w:hint="eastAsia"/>
          <w:sz w:val="24"/>
        </w:rPr>
      </w:pPr>
      <w:r>
        <w:rPr>
          <w:rFonts w:hint="eastAsia"/>
          <w:sz w:val="24"/>
        </w:rPr>
        <w:t>“</w:t>
      </w:r>
      <w:r>
        <w:rPr>
          <w:sz w:val="24"/>
        </w:rPr>
        <w:t>高水平</w:t>
      </w:r>
      <w:r>
        <w:rPr>
          <w:rFonts w:hint="eastAsia"/>
          <w:sz w:val="24"/>
        </w:rPr>
        <w:t>、</w:t>
      </w:r>
      <w:r>
        <w:rPr>
          <w:sz w:val="24"/>
        </w:rPr>
        <w:t>有特色、国际性</w:t>
      </w:r>
      <w:r>
        <w:rPr>
          <w:rFonts w:hint="eastAsia"/>
          <w:sz w:val="24"/>
        </w:rPr>
        <w:t>”</w:t>
      </w:r>
      <w:r>
        <w:rPr>
          <w:sz w:val="24"/>
        </w:rPr>
        <w:t>的人才培养</w:t>
      </w:r>
      <w:r>
        <w:rPr>
          <w:rFonts w:hint="eastAsia"/>
          <w:sz w:val="24"/>
        </w:rPr>
        <w:t>理念</w:t>
      </w:r>
      <w:r>
        <w:rPr>
          <w:sz w:val="24"/>
        </w:rPr>
        <w:t>与模式为学生就业打下了坚实的基础。</w:t>
      </w:r>
      <w:r>
        <w:rPr>
          <w:rFonts w:hint="eastAsia"/>
          <w:sz w:val="24"/>
        </w:rPr>
        <w:t>目前，首届</w:t>
      </w:r>
      <w:r>
        <w:rPr>
          <w:rFonts w:hint="eastAsia"/>
          <w:sz w:val="24"/>
          <w:lang w:eastAsia="zh-CN"/>
        </w:rPr>
        <w:t>和第二届</w:t>
      </w:r>
      <w:r>
        <w:rPr>
          <w:rFonts w:hint="eastAsia"/>
          <w:sz w:val="24"/>
        </w:rPr>
        <w:t>金融风险管理专业硕士</w:t>
      </w:r>
      <w:r>
        <w:rPr>
          <w:rFonts w:hint="eastAsia"/>
          <w:sz w:val="24"/>
          <w:lang w:eastAsia="zh-CN"/>
        </w:rPr>
        <w:t>均</w:t>
      </w:r>
      <w:r>
        <w:rPr>
          <w:rFonts w:hint="eastAsia"/>
          <w:sz w:val="24"/>
        </w:rPr>
        <w:t>已顺利</w:t>
      </w:r>
      <w:r>
        <w:rPr>
          <w:sz w:val="24"/>
        </w:rPr>
        <w:t>毕业</w:t>
      </w:r>
      <w:r>
        <w:rPr>
          <w:rFonts w:hint="eastAsia"/>
          <w:sz w:val="24"/>
        </w:rPr>
        <w:t>，受到</w:t>
      </w:r>
      <w:r>
        <w:rPr>
          <w:sz w:val="24"/>
        </w:rPr>
        <w:t>用人单位</w:t>
      </w:r>
      <w:r>
        <w:rPr>
          <w:rFonts w:hint="eastAsia"/>
          <w:sz w:val="24"/>
        </w:rPr>
        <w:t>的高度</w:t>
      </w:r>
      <w:r>
        <w:rPr>
          <w:sz w:val="24"/>
        </w:rPr>
        <w:t>认可，</w:t>
      </w:r>
      <w:r>
        <w:rPr>
          <w:rFonts w:hint="eastAsia"/>
          <w:sz w:val="24"/>
        </w:rPr>
        <w:t>就业率达100%。就业单位包括：工商银行总行、中国银行总行、农业银行总行、</w:t>
      </w:r>
      <w:r>
        <w:rPr>
          <w:rFonts w:hint="eastAsia"/>
          <w:sz w:val="24"/>
          <w:lang w:eastAsia="zh-CN"/>
        </w:rPr>
        <w:t>交通银行总行、</w:t>
      </w:r>
      <w:r>
        <w:rPr>
          <w:rFonts w:hint="eastAsia"/>
          <w:sz w:val="24"/>
        </w:rPr>
        <w:t>招商银行总行、</w:t>
      </w:r>
      <w:r>
        <w:rPr>
          <w:rFonts w:ascii="Helvetica Neue" w:hAnsi="Helvetica Neue" w:eastAsia="Helvetica Neue" w:cs="Helvetica Neue"/>
          <w:b w:val="0"/>
          <w:i w:val="0"/>
          <w:caps w:val="0"/>
          <w:color w:val="3E3E3E"/>
          <w:spacing w:val="0"/>
          <w:sz w:val="24"/>
          <w:szCs w:val="24"/>
          <w:shd w:val="clear" w:fill="FFFFFF"/>
        </w:rPr>
        <w:t>中国民生银行总行、兴业银行总行、</w:t>
      </w:r>
      <w:r>
        <w:rPr>
          <w:rFonts w:hint="eastAsia"/>
          <w:sz w:val="24"/>
        </w:rPr>
        <w:t>光大银行总行、浦发银行总行</w:t>
      </w:r>
      <w:r>
        <w:rPr>
          <w:rFonts w:hint="eastAsia"/>
          <w:sz w:val="24"/>
          <w:lang w:eastAsia="zh-CN"/>
        </w:rPr>
        <w:t>、</w:t>
      </w:r>
      <w:r>
        <w:rPr>
          <w:rFonts w:ascii="Helvetica Neue" w:hAnsi="Helvetica Neue" w:eastAsia="Helvetica Neue" w:cs="Helvetica Neue"/>
          <w:b w:val="0"/>
          <w:i w:val="0"/>
          <w:caps w:val="0"/>
          <w:color w:val="3E3E3E"/>
          <w:spacing w:val="0"/>
          <w:sz w:val="24"/>
          <w:szCs w:val="24"/>
          <w:shd w:val="clear" w:fill="FFFFFF"/>
        </w:rPr>
        <w:t>中国邮政储蓄银行总行、上海银行、浙江银行总行、浙商银行总行、浙江稠州商业银行总行、宁波银行、杭州银行、重庆银行总行、唐山银行</w:t>
      </w:r>
      <w:r>
        <w:rPr>
          <w:rFonts w:hint="eastAsia"/>
          <w:sz w:val="24"/>
        </w:rPr>
        <w:t>等大型商业银行总行，海通证券、国泰君安证券、国信证券、申万宏源证券、中信建投证券、东吴证券、方正证券</w:t>
      </w:r>
      <w:r>
        <w:rPr>
          <w:rFonts w:hint="eastAsia"/>
          <w:sz w:val="24"/>
          <w:lang w:eastAsia="zh-CN"/>
        </w:rPr>
        <w:t>、</w:t>
      </w:r>
      <w:r>
        <w:rPr>
          <w:rFonts w:ascii="Helvetica Neue" w:hAnsi="Helvetica Neue" w:eastAsia="Helvetica Neue" w:cs="Helvetica Neue"/>
          <w:b w:val="0"/>
          <w:i w:val="0"/>
          <w:caps w:val="0"/>
          <w:color w:val="3E3E3E"/>
          <w:spacing w:val="0"/>
          <w:sz w:val="24"/>
          <w:szCs w:val="24"/>
          <w:shd w:val="clear" w:fill="FFFFFF"/>
        </w:rPr>
        <w:t>招商证券、长江证券、太平洋证券、渤海证券</w:t>
      </w:r>
      <w:r>
        <w:rPr>
          <w:rFonts w:hint="eastAsia"/>
          <w:sz w:val="24"/>
        </w:rPr>
        <w:t>等一流券商，安邦集团、</w:t>
      </w:r>
      <w:r>
        <w:rPr>
          <w:rFonts w:ascii="Helvetica Neue" w:hAnsi="Helvetica Neue" w:eastAsia="Helvetica Neue" w:cs="Helvetica Neue"/>
          <w:b w:val="0"/>
          <w:i w:val="0"/>
          <w:caps w:val="0"/>
          <w:color w:val="3E3E3E"/>
          <w:spacing w:val="0"/>
          <w:sz w:val="24"/>
          <w:szCs w:val="24"/>
          <w:shd w:val="clear" w:fill="FFFFFF"/>
        </w:rPr>
        <w:t>平安集团、</w:t>
      </w:r>
      <w:r>
        <w:rPr>
          <w:rFonts w:hint="eastAsia"/>
          <w:sz w:val="24"/>
        </w:rPr>
        <w:t>中信信托、</w:t>
      </w:r>
      <w:r>
        <w:rPr>
          <w:rFonts w:ascii="Helvetica Neue" w:hAnsi="Helvetica Neue" w:eastAsia="Helvetica Neue" w:cs="Helvetica Neue"/>
          <w:b w:val="0"/>
          <w:i w:val="0"/>
          <w:caps w:val="0"/>
          <w:color w:val="3E3E3E"/>
          <w:spacing w:val="0"/>
          <w:sz w:val="24"/>
          <w:szCs w:val="24"/>
          <w:shd w:val="clear" w:fill="FFFFFF"/>
        </w:rPr>
        <w:t>上海国际信托、新时代信托、凯联资本、</w:t>
      </w:r>
      <w:r>
        <w:rPr>
          <w:rFonts w:hint="eastAsia"/>
          <w:sz w:val="24"/>
        </w:rPr>
        <w:t>汇添富资本、嘉实资本、</w:t>
      </w:r>
      <w:r>
        <w:rPr>
          <w:rFonts w:ascii="Helvetica Neue" w:hAnsi="Helvetica Neue" w:eastAsia="Helvetica Neue" w:cs="Helvetica Neue"/>
          <w:b w:val="0"/>
          <w:i w:val="0"/>
          <w:caps w:val="0"/>
          <w:color w:val="3E3E3E"/>
          <w:spacing w:val="0"/>
          <w:sz w:val="24"/>
          <w:szCs w:val="24"/>
          <w:shd w:val="clear" w:fill="FFFFFF"/>
        </w:rPr>
        <w:t>长富汇银、</w:t>
      </w:r>
      <w:r>
        <w:rPr>
          <w:rFonts w:hint="eastAsia"/>
          <w:sz w:val="24"/>
        </w:rPr>
        <w:t>中债资信、兴业租赁、外贸租赁</w:t>
      </w:r>
      <w:r>
        <w:rPr>
          <w:rFonts w:hint="eastAsia"/>
          <w:sz w:val="24"/>
          <w:lang w:eastAsia="zh-CN"/>
        </w:rPr>
        <w:t>、</w:t>
      </w:r>
      <w:r>
        <w:rPr>
          <w:rFonts w:ascii="Helvetica Neue" w:hAnsi="Helvetica Neue" w:eastAsia="Helvetica Neue" w:cs="Helvetica Neue"/>
          <w:b w:val="0"/>
          <w:i w:val="0"/>
          <w:caps w:val="0"/>
          <w:color w:val="3E3E3E"/>
          <w:spacing w:val="0"/>
          <w:sz w:val="24"/>
          <w:szCs w:val="24"/>
          <w:shd w:val="clear" w:fill="FFFFFF"/>
        </w:rPr>
        <w:t>工银租赁、弘康人寿、易方达基金管理有限公司</w:t>
      </w:r>
      <w:r>
        <w:rPr>
          <w:rFonts w:hint="eastAsia"/>
          <w:sz w:val="24"/>
        </w:rPr>
        <w:t>等顶级金融机构，华融资产管理公司、中关村发展集团、中国移动、中国建筑</w:t>
      </w:r>
      <w:r>
        <w:rPr>
          <w:rFonts w:hint="eastAsia"/>
          <w:sz w:val="24"/>
          <w:lang w:eastAsia="zh-CN"/>
        </w:rPr>
        <w:t>、</w:t>
      </w:r>
      <w:r>
        <w:rPr>
          <w:rFonts w:ascii="Helvetica Neue" w:hAnsi="Helvetica Neue" w:eastAsia="Helvetica Neue" w:cs="Helvetica Neue"/>
          <w:b w:val="0"/>
          <w:i w:val="0"/>
          <w:caps w:val="0"/>
          <w:color w:val="3E3E3E"/>
          <w:spacing w:val="0"/>
          <w:sz w:val="24"/>
          <w:szCs w:val="24"/>
          <w:shd w:val="clear" w:fill="FFFFFF"/>
        </w:rPr>
        <w:t>际华集团、北京市海淀区国有资产投资经营有限公司</w:t>
      </w:r>
      <w:r>
        <w:rPr>
          <w:rFonts w:hint="eastAsia"/>
          <w:sz w:val="24"/>
        </w:rPr>
        <w:t>等大型国有企业，以及中国人民银行、银监会、</w:t>
      </w:r>
      <w:r>
        <w:rPr>
          <w:rFonts w:ascii="Helvetica Neue" w:hAnsi="Helvetica Neue" w:eastAsia="Helvetica Neue" w:cs="Helvetica Neue"/>
          <w:b w:val="0"/>
          <w:i w:val="0"/>
          <w:caps w:val="0"/>
          <w:color w:val="3E3E3E"/>
          <w:spacing w:val="0"/>
          <w:sz w:val="24"/>
          <w:szCs w:val="24"/>
          <w:shd w:val="clear" w:fill="FFFFFF"/>
        </w:rPr>
        <w:t>上海证券交易所、深圳证券交易所、上海清算所</w:t>
      </w:r>
      <w:r>
        <w:rPr>
          <w:rFonts w:hint="eastAsia" w:ascii="Helvetica Neue" w:hAnsi="Helvetica Neue" w:cs="Helvetica Neue"/>
          <w:b w:val="0"/>
          <w:i w:val="0"/>
          <w:caps w:val="0"/>
          <w:color w:val="3E3E3E"/>
          <w:spacing w:val="0"/>
          <w:sz w:val="24"/>
          <w:szCs w:val="24"/>
          <w:shd w:val="clear" w:fill="FFFFFF"/>
          <w:lang w:eastAsia="zh-CN"/>
        </w:rPr>
        <w:t>、</w:t>
      </w:r>
      <w:r>
        <w:rPr>
          <w:rFonts w:hint="eastAsia"/>
          <w:sz w:val="24"/>
        </w:rPr>
        <w:t>国安部</w:t>
      </w:r>
      <w:r>
        <w:rPr>
          <w:rFonts w:ascii="Helvetica Neue" w:hAnsi="Helvetica Neue" w:eastAsia="Helvetica Neue" w:cs="Helvetica Neue"/>
          <w:b w:val="0"/>
          <w:i w:val="0"/>
          <w:caps w:val="0"/>
          <w:color w:val="3E3E3E"/>
          <w:spacing w:val="0"/>
          <w:sz w:val="24"/>
          <w:szCs w:val="24"/>
          <w:shd w:val="clear" w:fill="FFFFFF"/>
        </w:rPr>
        <w:t>和外交部</w:t>
      </w:r>
      <w:r>
        <w:rPr>
          <w:rFonts w:hint="eastAsia"/>
          <w:sz w:val="24"/>
        </w:rPr>
        <w:t>等</w:t>
      </w:r>
      <w:r>
        <w:rPr>
          <w:rFonts w:hint="eastAsia"/>
          <w:sz w:val="24"/>
          <w:lang w:eastAsia="zh-CN"/>
        </w:rPr>
        <w:t>重要</w:t>
      </w:r>
      <w:r>
        <w:rPr>
          <w:rFonts w:hint="eastAsia"/>
          <w:sz w:val="24"/>
        </w:rPr>
        <w:t>国家</w:t>
      </w:r>
      <w:r>
        <w:rPr>
          <w:rFonts w:hint="eastAsia"/>
          <w:sz w:val="24"/>
          <w:lang w:eastAsia="zh-CN"/>
        </w:rPr>
        <w:t>部委</w:t>
      </w:r>
      <w:r>
        <w:rPr>
          <w:rFonts w:hint="eastAsia"/>
          <w:sz w:val="24"/>
        </w:rPr>
        <w:t>机关。</w:t>
      </w:r>
    </w:p>
    <w:p>
      <w:pPr>
        <w:tabs>
          <w:tab w:val="left" w:pos="3450"/>
        </w:tabs>
        <w:spacing w:line="360" w:lineRule="auto"/>
        <w:ind w:firstLine="480" w:firstLineChars="200"/>
        <w:jc w:val="center"/>
        <w:rPr>
          <w:rFonts w:hint="eastAsia"/>
          <w:sz w:val="24"/>
        </w:rPr>
      </w:pPr>
      <w:r>
        <w:rPr>
          <w:rFonts w:ascii="宋体" w:hAnsi="宋体" w:cs="宋体"/>
          <w:sz w:val="24"/>
          <w:szCs w:val="24"/>
        </w:rPr>
        <w:drawing>
          <wp:inline distT="0" distB="0" distL="0" distR="0">
            <wp:extent cx="5274310" cy="3012440"/>
            <wp:effectExtent l="0" t="0" r="2540" b="1651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jc w:val="center"/>
        <w:rPr>
          <w:b/>
          <w:sz w:val="24"/>
        </w:rPr>
      </w:pPr>
      <w:r>
        <w:rPr>
          <w:rFonts w:hint="eastAsia"/>
          <w:b/>
          <w:sz w:val="24"/>
          <w:lang w:eastAsia="zh-CN"/>
        </w:rPr>
        <w:t>首届</w:t>
      </w:r>
      <w:r>
        <w:rPr>
          <w:rFonts w:hint="eastAsia"/>
          <w:b/>
          <w:sz w:val="24"/>
        </w:rPr>
        <w:t>金融硕士</w:t>
      </w:r>
      <w:r>
        <w:rPr>
          <w:b/>
          <w:sz w:val="24"/>
        </w:rPr>
        <w:t>（</w:t>
      </w:r>
      <w:r>
        <w:rPr>
          <w:rFonts w:hint="eastAsia"/>
          <w:b/>
          <w:sz w:val="24"/>
        </w:rPr>
        <w:t>风险管理方向</w:t>
      </w:r>
      <w:r>
        <w:rPr>
          <w:b/>
          <w:sz w:val="24"/>
        </w:rPr>
        <w:t>）</w:t>
      </w:r>
      <w:r>
        <w:rPr>
          <w:rFonts w:hint="eastAsia"/>
          <w:b/>
          <w:sz w:val="24"/>
        </w:rPr>
        <w:t>毕业生就业</w:t>
      </w:r>
      <w:r>
        <w:rPr>
          <w:b/>
          <w:sz w:val="24"/>
        </w:rPr>
        <w:t>去向统计</w:t>
      </w:r>
      <w:r>
        <w:rPr>
          <w:rFonts w:hint="eastAsia"/>
          <w:b/>
          <w:sz w:val="24"/>
        </w:rPr>
        <w:t>表</w:t>
      </w:r>
    </w:p>
    <w:p>
      <w:pPr>
        <w:spacing w:line="360" w:lineRule="auto"/>
        <w:jc w:val="center"/>
        <w:rPr>
          <w:rFonts w:hint="eastAsia"/>
          <w:sz w:val="24"/>
        </w:rPr>
      </w:pP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589"/>
        <w:gridCol w:w="855"/>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b/>
                <w:sz w:val="15"/>
              </w:rPr>
            </w:pPr>
            <w:r>
              <w:rPr>
                <w:rFonts w:hint="eastAsia"/>
                <w:b/>
                <w:sz w:val="15"/>
              </w:rPr>
              <w:t>序号</w:t>
            </w:r>
          </w:p>
        </w:tc>
        <w:tc>
          <w:tcPr>
            <w:tcW w:w="3589" w:type="dxa"/>
          </w:tcPr>
          <w:p>
            <w:pPr>
              <w:jc w:val="center"/>
              <w:rPr>
                <w:b/>
                <w:sz w:val="15"/>
              </w:rPr>
            </w:pPr>
            <w:r>
              <w:rPr>
                <w:rFonts w:hint="eastAsia"/>
                <w:b/>
                <w:sz w:val="15"/>
              </w:rPr>
              <w:t>就业单位</w:t>
            </w:r>
          </w:p>
        </w:tc>
        <w:tc>
          <w:tcPr>
            <w:tcW w:w="855" w:type="dxa"/>
          </w:tcPr>
          <w:p>
            <w:pPr>
              <w:jc w:val="center"/>
              <w:rPr>
                <w:b/>
                <w:sz w:val="15"/>
              </w:rPr>
            </w:pPr>
            <w:r>
              <w:rPr>
                <w:rFonts w:hint="eastAsia"/>
                <w:b/>
                <w:sz w:val="15"/>
              </w:rPr>
              <w:t>序号</w:t>
            </w:r>
          </w:p>
        </w:tc>
        <w:tc>
          <w:tcPr>
            <w:tcW w:w="3246" w:type="dxa"/>
          </w:tcPr>
          <w:p>
            <w:pPr>
              <w:jc w:val="center"/>
              <w:rPr>
                <w:b/>
                <w:sz w:val="15"/>
              </w:rPr>
            </w:pPr>
            <w:r>
              <w:rPr>
                <w:rFonts w:hint="eastAsia"/>
                <w:b/>
                <w:sz w:val="15"/>
              </w:rPr>
              <w:t>就业单位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w:t>
            </w:r>
          </w:p>
        </w:tc>
        <w:tc>
          <w:tcPr>
            <w:tcW w:w="3589" w:type="dxa"/>
            <w:vAlign w:val="bottom"/>
          </w:tcPr>
          <w:p>
            <w:pPr>
              <w:jc w:val="left"/>
              <w:rPr>
                <w:sz w:val="15"/>
              </w:rPr>
            </w:pPr>
            <w:r>
              <w:rPr>
                <w:sz w:val="15"/>
              </w:rPr>
              <w:t>中国工商银行股份有限公司</w:t>
            </w:r>
            <w:r>
              <w:rPr>
                <w:rFonts w:hint="eastAsia"/>
                <w:sz w:val="15"/>
              </w:rPr>
              <w:t>总行</w:t>
            </w:r>
          </w:p>
        </w:tc>
        <w:tc>
          <w:tcPr>
            <w:tcW w:w="855" w:type="dxa"/>
          </w:tcPr>
          <w:p>
            <w:pPr>
              <w:jc w:val="center"/>
              <w:rPr>
                <w:sz w:val="15"/>
              </w:rPr>
            </w:pPr>
            <w:r>
              <w:rPr>
                <w:rFonts w:hint="eastAsia"/>
                <w:sz w:val="15"/>
              </w:rPr>
              <w:t>29</w:t>
            </w:r>
          </w:p>
        </w:tc>
        <w:tc>
          <w:tcPr>
            <w:tcW w:w="3246" w:type="dxa"/>
            <w:vAlign w:val="bottom"/>
          </w:tcPr>
          <w:p>
            <w:pPr>
              <w:jc w:val="left"/>
              <w:rPr>
                <w:sz w:val="15"/>
              </w:rPr>
            </w:pPr>
            <w:r>
              <w:rPr>
                <w:sz w:val="15"/>
              </w:rPr>
              <w:t>中国光大银行股份有限公司</w:t>
            </w:r>
            <w:r>
              <w:rPr>
                <w:rFonts w:hint="eastAsia"/>
                <w:sz w:val="15"/>
              </w:rPr>
              <w:t>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w:t>
            </w:r>
          </w:p>
        </w:tc>
        <w:tc>
          <w:tcPr>
            <w:tcW w:w="3589" w:type="dxa"/>
            <w:vAlign w:val="bottom"/>
          </w:tcPr>
          <w:p>
            <w:pPr>
              <w:jc w:val="left"/>
              <w:rPr>
                <w:sz w:val="15"/>
              </w:rPr>
            </w:pPr>
            <w:r>
              <w:rPr>
                <w:sz w:val="15"/>
              </w:rPr>
              <w:t>兴业金融租赁有限责任公司</w:t>
            </w:r>
          </w:p>
        </w:tc>
        <w:tc>
          <w:tcPr>
            <w:tcW w:w="855" w:type="dxa"/>
          </w:tcPr>
          <w:p>
            <w:pPr>
              <w:jc w:val="center"/>
              <w:rPr>
                <w:sz w:val="15"/>
              </w:rPr>
            </w:pPr>
            <w:r>
              <w:rPr>
                <w:rFonts w:hint="eastAsia"/>
                <w:sz w:val="15"/>
              </w:rPr>
              <w:t>30</w:t>
            </w:r>
          </w:p>
        </w:tc>
        <w:tc>
          <w:tcPr>
            <w:tcW w:w="3246" w:type="dxa"/>
            <w:vAlign w:val="bottom"/>
          </w:tcPr>
          <w:p>
            <w:pPr>
              <w:jc w:val="left"/>
              <w:rPr>
                <w:sz w:val="15"/>
              </w:rPr>
            </w:pPr>
            <w:r>
              <w:rPr>
                <w:sz w:val="15"/>
              </w:rPr>
              <w:t>上海东方证券创新投资有限公司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3</w:t>
            </w:r>
          </w:p>
        </w:tc>
        <w:tc>
          <w:tcPr>
            <w:tcW w:w="3589" w:type="dxa"/>
            <w:vAlign w:val="bottom"/>
          </w:tcPr>
          <w:p>
            <w:pPr>
              <w:jc w:val="left"/>
              <w:rPr>
                <w:sz w:val="15"/>
              </w:rPr>
            </w:pPr>
            <w:r>
              <w:rPr>
                <w:sz w:val="15"/>
              </w:rPr>
              <w:t>中国农业银行股份有限公司</w:t>
            </w:r>
            <w:r>
              <w:rPr>
                <w:rFonts w:hint="eastAsia"/>
                <w:sz w:val="15"/>
              </w:rPr>
              <w:t>总行</w:t>
            </w:r>
          </w:p>
        </w:tc>
        <w:tc>
          <w:tcPr>
            <w:tcW w:w="855" w:type="dxa"/>
          </w:tcPr>
          <w:p>
            <w:pPr>
              <w:jc w:val="center"/>
              <w:rPr>
                <w:sz w:val="15"/>
              </w:rPr>
            </w:pPr>
            <w:r>
              <w:rPr>
                <w:rFonts w:hint="eastAsia"/>
                <w:sz w:val="15"/>
              </w:rPr>
              <w:t>31</w:t>
            </w:r>
          </w:p>
        </w:tc>
        <w:tc>
          <w:tcPr>
            <w:tcW w:w="3246" w:type="dxa"/>
            <w:vAlign w:val="bottom"/>
          </w:tcPr>
          <w:p>
            <w:pPr>
              <w:jc w:val="left"/>
              <w:rPr>
                <w:sz w:val="15"/>
              </w:rPr>
            </w:pPr>
            <w:r>
              <w:rPr>
                <w:sz w:val="15"/>
              </w:rPr>
              <w:t>中国工商银行股份有限公司</w:t>
            </w:r>
            <w:r>
              <w:rPr>
                <w:rFonts w:hint="eastAsia"/>
                <w:sz w:val="15"/>
              </w:rPr>
              <w:t>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4</w:t>
            </w:r>
          </w:p>
        </w:tc>
        <w:tc>
          <w:tcPr>
            <w:tcW w:w="3589" w:type="dxa"/>
            <w:vAlign w:val="bottom"/>
          </w:tcPr>
          <w:p>
            <w:pPr>
              <w:jc w:val="left"/>
              <w:rPr>
                <w:sz w:val="15"/>
              </w:rPr>
            </w:pPr>
            <w:r>
              <w:rPr>
                <w:sz w:val="15"/>
              </w:rPr>
              <w:t>金杭资产管理（深圳）有限公司</w:t>
            </w:r>
          </w:p>
        </w:tc>
        <w:tc>
          <w:tcPr>
            <w:tcW w:w="855" w:type="dxa"/>
          </w:tcPr>
          <w:p>
            <w:pPr>
              <w:jc w:val="center"/>
              <w:rPr>
                <w:sz w:val="15"/>
              </w:rPr>
            </w:pPr>
            <w:r>
              <w:rPr>
                <w:rFonts w:hint="eastAsia"/>
                <w:sz w:val="15"/>
              </w:rPr>
              <w:t>32</w:t>
            </w:r>
          </w:p>
        </w:tc>
        <w:tc>
          <w:tcPr>
            <w:tcW w:w="3246" w:type="dxa"/>
            <w:vAlign w:val="bottom"/>
          </w:tcPr>
          <w:p>
            <w:pPr>
              <w:jc w:val="left"/>
              <w:rPr>
                <w:sz w:val="15"/>
              </w:rPr>
            </w:pPr>
            <w:r>
              <w:rPr>
                <w:sz w:val="15"/>
              </w:rPr>
              <w:t>中国农业银行股份有限公司</w:t>
            </w:r>
            <w:r>
              <w:rPr>
                <w:rFonts w:hint="eastAsia"/>
                <w:sz w:val="15"/>
              </w:rPr>
              <w:t>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5</w:t>
            </w:r>
          </w:p>
        </w:tc>
        <w:tc>
          <w:tcPr>
            <w:tcW w:w="3589" w:type="dxa"/>
            <w:vAlign w:val="bottom"/>
          </w:tcPr>
          <w:p>
            <w:pPr>
              <w:jc w:val="left"/>
              <w:rPr>
                <w:sz w:val="15"/>
              </w:rPr>
            </w:pPr>
            <w:r>
              <w:rPr>
                <w:sz w:val="15"/>
              </w:rPr>
              <w:t>中国工商银行股份有限公司</w:t>
            </w:r>
            <w:r>
              <w:rPr>
                <w:rFonts w:hint="eastAsia"/>
                <w:sz w:val="15"/>
              </w:rPr>
              <w:t>总行</w:t>
            </w:r>
          </w:p>
        </w:tc>
        <w:tc>
          <w:tcPr>
            <w:tcW w:w="855" w:type="dxa"/>
          </w:tcPr>
          <w:p>
            <w:pPr>
              <w:jc w:val="center"/>
              <w:rPr>
                <w:sz w:val="15"/>
              </w:rPr>
            </w:pPr>
            <w:r>
              <w:rPr>
                <w:rFonts w:hint="eastAsia"/>
                <w:sz w:val="15"/>
              </w:rPr>
              <w:t>33</w:t>
            </w:r>
          </w:p>
        </w:tc>
        <w:tc>
          <w:tcPr>
            <w:tcW w:w="3246" w:type="dxa"/>
            <w:vAlign w:val="bottom"/>
          </w:tcPr>
          <w:p>
            <w:pPr>
              <w:jc w:val="left"/>
              <w:rPr>
                <w:sz w:val="15"/>
              </w:rPr>
            </w:pPr>
            <w:r>
              <w:rPr>
                <w:sz w:val="15"/>
              </w:rPr>
              <w:t>申万菱信（上海）资产管理有限公司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6</w:t>
            </w:r>
          </w:p>
        </w:tc>
        <w:tc>
          <w:tcPr>
            <w:tcW w:w="3589" w:type="dxa"/>
            <w:vAlign w:val="bottom"/>
          </w:tcPr>
          <w:p>
            <w:pPr>
              <w:jc w:val="left"/>
              <w:rPr>
                <w:sz w:val="15"/>
              </w:rPr>
            </w:pPr>
            <w:r>
              <w:rPr>
                <w:sz w:val="15"/>
              </w:rPr>
              <w:t>开源证券股份有限公司</w:t>
            </w:r>
          </w:p>
        </w:tc>
        <w:tc>
          <w:tcPr>
            <w:tcW w:w="855" w:type="dxa"/>
          </w:tcPr>
          <w:p>
            <w:pPr>
              <w:jc w:val="center"/>
              <w:rPr>
                <w:sz w:val="15"/>
              </w:rPr>
            </w:pPr>
            <w:r>
              <w:rPr>
                <w:rFonts w:hint="eastAsia"/>
                <w:sz w:val="15"/>
              </w:rPr>
              <w:t>34</w:t>
            </w:r>
          </w:p>
        </w:tc>
        <w:tc>
          <w:tcPr>
            <w:tcW w:w="3246" w:type="dxa"/>
            <w:vAlign w:val="bottom"/>
          </w:tcPr>
          <w:p>
            <w:pPr>
              <w:jc w:val="left"/>
              <w:rPr>
                <w:sz w:val="15"/>
              </w:rPr>
            </w:pPr>
            <w:r>
              <w:rPr>
                <w:sz w:val="15"/>
              </w:rPr>
              <w:t>指数资本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7</w:t>
            </w:r>
          </w:p>
        </w:tc>
        <w:tc>
          <w:tcPr>
            <w:tcW w:w="3589" w:type="dxa"/>
            <w:vAlign w:val="bottom"/>
          </w:tcPr>
          <w:p>
            <w:pPr>
              <w:jc w:val="left"/>
              <w:rPr>
                <w:sz w:val="15"/>
              </w:rPr>
            </w:pPr>
            <w:r>
              <w:rPr>
                <w:sz w:val="15"/>
              </w:rPr>
              <w:t>中国银行股份有限公司</w:t>
            </w:r>
            <w:r>
              <w:rPr>
                <w:rFonts w:hint="eastAsia"/>
                <w:sz w:val="15"/>
              </w:rPr>
              <w:t>总行</w:t>
            </w:r>
          </w:p>
        </w:tc>
        <w:tc>
          <w:tcPr>
            <w:tcW w:w="855" w:type="dxa"/>
          </w:tcPr>
          <w:p>
            <w:pPr>
              <w:jc w:val="center"/>
              <w:rPr>
                <w:sz w:val="15"/>
              </w:rPr>
            </w:pPr>
            <w:r>
              <w:rPr>
                <w:rFonts w:hint="eastAsia"/>
                <w:sz w:val="15"/>
              </w:rPr>
              <w:t>35</w:t>
            </w:r>
          </w:p>
        </w:tc>
        <w:tc>
          <w:tcPr>
            <w:tcW w:w="3246" w:type="dxa"/>
            <w:vAlign w:val="bottom"/>
          </w:tcPr>
          <w:p>
            <w:pPr>
              <w:jc w:val="left"/>
              <w:rPr>
                <w:sz w:val="15"/>
              </w:rPr>
            </w:pPr>
            <w:r>
              <w:rPr>
                <w:sz w:val="15"/>
              </w:rPr>
              <w:t>中国民生银行</w:t>
            </w:r>
            <w:r>
              <w:rPr>
                <w:rFonts w:hint="eastAsia"/>
                <w:sz w:val="15"/>
              </w:rPr>
              <w:t>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8</w:t>
            </w:r>
          </w:p>
        </w:tc>
        <w:tc>
          <w:tcPr>
            <w:tcW w:w="3589" w:type="dxa"/>
            <w:vAlign w:val="bottom"/>
          </w:tcPr>
          <w:p>
            <w:pPr>
              <w:jc w:val="left"/>
              <w:rPr>
                <w:sz w:val="15"/>
              </w:rPr>
            </w:pPr>
            <w:r>
              <w:rPr>
                <w:sz w:val="15"/>
              </w:rPr>
              <w:t>国家安全部</w:t>
            </w:r>
          </w:p>
        </w:tc>
        <w:tc>
          <w:tcPr>
            <w:tcW w:w="855" w:type="dxa"/>
          </w:tcPr>
          <w:p>
            <w:pPr>
              <w:jc w:val="center"/>
              <w:rPr>
                <w:sz w:val="15"/>
              </w:rPr>
            </w:pPr>
            <w:r>
              <w:rPr>
                <w:rFonts w:hint="eastAsia"/>
                <w:sz w:val="15"/>
              </w:rPr>
              <w:t>36</w:t>
            </w:r>
          </w:p>
        </w:tc>
        <w:tc>
          <w:tcPr>
            <w:tcW w:w="3246" w:type="dxa"/>
            <w:vAlign w:val="bottom"/>
          </w:tcPr>
          <w:p>
            <w:pPr>
              <w:jc w:val="left"/>
              <w:rPr>
                <w:sz w:val="15"/>
              </w:rPr>
            </w:pPr>
            <w:r>
              <w:rPr>
                <w:sz w:val="15"/>
              </w:rP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9</w:t>
            </w:r>
          </w:p>
        </w:tc>
        <w:tc>
          <w:tcPr>
            <w:tcW w:w="3589" w:type="dxa"/>
            <w:vAlign w:val="bottom"/>
          </w:tcPr>
          <w:p>
            <w:pPr>
              <w:jc w:val="left"/>
              <w:rPr>
                <w:sz w:val="15"/>
              </w:rPr>
            </w:pPr>
            <w:r>
              <w:rPr>
                <w:sz w:val="15"/>
              </w:rPr>
              <w:t>华夏银行</w:t>
            </w:r>
            <w:r>
              <w:rPr>
                <w:rFonts w:hint="eastAsia"/>
                <w:sz w:val="15"/>
              </w:rPr>
              <w:t>股份有限公司</w:t>
            </w:r>
          </w:p>
        </w:tc>
        <w:tc>
          <w:tcPr>
            <w:tcW w:w="855" w:type="dxa"/>
          </w:tcPr>
          <w:p>
            <w:pPr>
              <w:jc w:val="center"/>
              <w:rPr>
                <w:sz w:val="15"/>
              </w:rPr>
            </w:pPr>
            <w:r>
              <w:rPr>
                <w:rFonts w:hint="eastAsia"/>
                <w:sz w:val="15"/>
              </w:rPr>
              <w:t>37</w:t>
            </w:r>
          </w:p>
        </w:tc>
        <w:tc>
          <w:tcPr>
            <w:tcW w:w="3246" w:type="dxa"/>
            <w:vAlign w:val="bottom"/>
          </w:tcPr>
          <w:p>
            <w:pPr>
              <w:jc w:val="left"/>
              <w:rPr>
                <w:sz w:val="15"/>
              </w:rPr>
            </w:pPr>
            <w:r>
              <w:rPr>
                <w:sz w:val="15"/>
              </w:rPr>
              <w:t>东吴证券股份有限公司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10</w:t>
            </w:r>
          </w:p>
        </w:tc>
        <w:tc>
          <w:tcPr>
            <w:tcW w:w="3589" w:type="dxa"/>
            <w:vAlign w:val="bottom"/>
          </w:tcPr>
          <w:p>
            <w:pPr>
              <w:jc w:val="left"/>
              <w:rPr>
                <w:sz w:val="15"/>
              </w:rPr>
            </w:pPr>
            <w:r>
              <w:rPr>
                <w:rFonts w:hint="eastAsia"/>
                <w:sz w:val="15"/>
              </w:rPr>
              <w:t>广发银行信用卡中心</w:t>
            </w:r>
          </w:p>
        </w:tc>
        <w:tc>
          <w:tcPr>
            <w:tcW w:w="855" w:type="dxa"/>
          </w:tcPr>
          <w:p>
            <w:pPr>
              <w:jc w:val="center"/>
              <w:rPr>
                <w:sz w:val="15"/>
              </w:rPr>
            </w:pPr>
            <w:r>
              <w:rPr>
                <w:rFonts w:hint="eastAsia"/>
                <w:sz w:val="15"/>
              </w:rPr>
              <w:t>38</w:t>
            </w:r>
          </w:p>
        </w:tc>
        <w:tc>
          <w:tcPr>
            <w:tcW w:w="3246" w:type="dxa"/>
            <w:vAlign w:val="bottom"/>
          </w:tcPr>
          <w:p>
            <w:pPr>
              <w:jc w:val="left"/>
              <w:rPr>
                <w:sz w:val="15"/>
              </w:rPr>
            </w:pPr>
            <w:r>
              <w:rPr>
                <w:sz w:val="15"/>
              </w:rPr>
              <w:t>中国民生银行</w:t>
            </w:r>
            <w:r>
              <w:rPr>
                <w:rFonts w:hint="eastAsia"/>
                <w:sz w:val="15"/>
              </w:rPr>
              <w:t>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14" w:type="dxa"/>
          </w:tcPr>
          <w:p>
            <w:pPr>
              <w:jc w:val="center"/>
              <w:rPr>
                <w:sz w:val="15"/>
              </w:rPr>
            </w:pPr>
            <w:r>
              <w:rPr>
                <w:rFonts w:hint="eastAsia"/>
                <w:sz w:val="15"/>
              </w:rPr>
              <w:t>11</w:t>
            </w:r>
          </w:p>
        </w:tc>
        <w:tc>
          <w:tcPr>
            <w:tcW w:w="3589" w:type="dxa"/>
            <w:vAlign w:val="bottom"/>
          </w:tcPr>
          <w:p>
            <w:pPr>
              <w:jc w:val="left"/>
              <w:rPr>
                <w:sz w:val="15"/>
              </w:rPr>
            </w:pPr>
            <w:r>
              <w:rPr>
                <w:sz w:val="15"/>
              </w:rPr>
              <w:t>安信乾盛财富管理（深圳）有限公司</w:t>
            </w:r>
          </w:p>
        </w:tc>
        <w:tc>
          <w:tcPr>
            <w:tcW w:w="855" w:type="dxa"/>
          </w:tcPr>
          <w:p>
            <w:pPr>
              <w:jc w:val="center"/>
              <w:rPr>
                <w:sz w:val="15"/>
              </w:rPr>
            </w:pPr>
            <w:r>
              <w:rPr>
                <w:rFonts w:hint="eastAsia"/>
                <w:sz w:val="15"/>
              </w:rPr>
              <w:t>39</w:t>
            </w:r>
          </w:p>
        </w:tc>
        <w:tc>
          <w:tcPr>
            <w:tcW w:w="3246" w:type="dxa"/>
            <w:vAlign w:val="bottom"/>
          </w:tcPr>
          <w:p>
            <w:pPr>
              <w:jc w:val="left"/>
              <w:rPr>
                <w:sz w:val="15"/>
              </w:rPr>
            </w:pPr>
            <w:r>
              <w:rPr>
                <w:sz w:val="15"/>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12</w:t>
            </w:r>
          </w:p>
        </w:tc>
        <w:tc>
          <w:tcPr>
            <w:tcW w:w="3589" w:type="dxa"/>
            <w:vAlign w:val="bottom"/>
          </w:tcPr>
          <w:p>
            <w:pPr>
              <w:jc w:val="left"/>
              <w:rPr>
                <w:sz w:val="15"/>
              </w:rPr>
            </w:pPr>
            <w:r>
              <w:rPr>
                <w:sz w:val="15"/>
              </w:rPr>
              <w:t>东吴证券股份有限公司</w:t>
            </w:r>
          </w:p>
        </w:tc>
        <w:tc>
          <w:tcPr>
            <w:tcW w:w="855" w:type="dxa"/>
          </w:tcPr>
          <w:p>
            <w:pPr>
              <w:jc w:val="center"/>
              <w:rPr>
                <w:sz w:val="15"/>
              </w:rPr>
            </w:pPr>
            <w:r>
              <w:rPr>
                <w:rFonts w:hint="eastAsia"/>
                <w:sz w:val="15"/>
              </w:rPr>
              <w:t>40</w:t>
            </w:r>
          </w:p>
        </w:tc>
        <w:tc>
          <w:tcPr>
            <w:tcW w:w="3246" w:type="dxa"/>
            <w:vAlign w:val="bottom"/>
          </w:tcPr>
          <w:p>
            <w:pPr>
              <w:jc w:val="left"/>
              <w:rPr>
                <w:sz w:val="15"/>
              </w:rPr>
            </w:pPr>
            <w:r>
              <w:rPr>
                <w:sz w:val="15"/>
              </w:rPr>
              <w:t>恒丰银行股份有限公司</w:t>
            </w:r>
            <w:r>
              <w:rPr>
                <w:rFonts w:hint="eastAsia"/>
                <w:sz w:val="15"/>
              </w:rPr>
              <w:t>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13</w:t>
            </w:r>
          </w:p>
        </w:tc>
        <w:tc>
          <w:tcPr>
            <w:tcW w:w="3589" w:type="dxa"/>
            <w:vAlign w:val="bottom"/>
          </w:tcPr>
          <w:p>
            <w:pPr>
              <w:jc w:val="left"/>
              <w:rPr>
                <w:sz w:val="15"/>
              </w:rPr>
            </w:pPr>
            <w:r>
              <w:rPr>
                <w:sz w:val="15"/>
              </w:rPr>
              <w:t>中债资信评估有限责任公司</w:t>
            </w:r>
          </w:p>
        </w:tc>
        <w:tc>
          <w:tcPr>
            <w:tcW w:w="855" w:type="dxa"/>
          </w:tcPr>
          <w:p>
            <w:pPr>
              <w:jc w:val="center"/>
              <w:rPr>
                <w:sz w:val="15"/>
              </w:rPr>
            </w:pPr>
            <w:r>
              <w:rPr>
                <w:rFonts w:hint="eastAsia"/>
                <w:sz w:val="15"/>
              </w:rPr>
              <w:t>41</w:t>
            </w:r>
          </w:p>
        </w:tc>
        <w:tc>
          <w:tcPr>
            <w:tcW w:w="3246" w:type="dxa"/>
            <w:vAlign w:val="bottom"/>
          </w:tcPr>
          <w:p>
            <w:pPr>
              <w:jc w:val="left"/>
              <w:rPr>
                <w:sz w:val="15"/>
              </w:rPr>
            </w:pPr>
            <w:r>
              <w:rPr>
                <w:sz w:val="15"/>
              </w:rPr>
              <w:t>上海国泰君安证券资产管理有限公司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14</w:t>
            </w:r>
          </w:p>
        </w:tc>
        <w:tc>
          <w:tcPr>
            <w:tcW w:w="3589" w:type="dxa"/>
            <w:vAlign w:val="bottom"/>
          </w:tcPr>
          <w:p>
            <w:pPr>
              <w:jc w:val="left"/>
              <w:rPr>
                <w:sz w:val="15"/>
              </w:rPr>
            </w:pPr>
            <w:r>
              <w:rPr>
                <w:sz w:val="15"/>
              </w:rPr>
              <w:t>中信建投证券股份有限公司</w:t>
            </w:r>
          </w:p>
        </w:tc>
        <w:tc>
          <w:tcPr>
            <w:tcW w:w="855" w:type="dxa"/>
          </w:tcPr>
          <w:p>
            <w:pPr>
              <w:jc w:val="center"/>
              <w:rPr>
                <w:sz w:val="15"/>
              </w:rPr>
            </w:pPr>
            <w:r>
              <w:rPr>
                <w:rFonts w:hint="eastAsia"/>
                <w:sz w:val="15"/>
              </w:rPr>
              <w:t>42</w:t>
            </w:r>
          </w:p>
        </w:tc>
        <w:tc>
          <w:tcPr>
            <w:tcW w:w="3246" w:type="dxa"/>
            <w:vAlign w:val="bottom"/>
          </w:tcPr>
          <w:p>
            <w:pPr>
              <w:jc w:val="left"/>
              <w:rPr>
                <w:sz w:val="15"/>
              </w:rPr>
            </w:pPr>
            <w:r>
              <w:rPr>
                <w:sz w:val="15"/>
              </w:rPr>
              <w:t>中国外贸金融租赁有限公司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15</w:t>
            </w:r>
          </w:p>
        </w:tc>
        <w:tc>
          <w:tcPr>
            <w:tcW w:w="3589" w:type="dxa"/>
            <w:vAlign w:val="bottom"/>
          </w:tcPr>
          <w:p>
            <w:pPr>
              <w:jc w:val="left"/>
              <w:rPr>
                <w:sz w:val="15"/>
              </w:rPr>
            </w:pPr>
            <w:r>
              <w:rPr>
                <w:sz w:val="15"/>
              </w:rPr>
              <w:t>华英证券有限责任公司</w:t>
            </w:r>
          </w:p>
        </w:tc>
        <w:tc>
          <w:tcPr>
            <w:tcW w:w="855" w:type="dxa"/>
          </w:tcPr>
          <w:p>
            <w:pPr>
              <w:jc w:val="center"/>
              <w:rPr>
                <w:sz w:val="15"/>
              </w:rPr>
            </w:pPr>
            <w:r>
              <w:rPr>
                <w:rFonts w:hint="eastAsia"/>
                <w:sz w:val="15"/>
              </w:rPr>
              <w:t>43</w:t>
            </w:r>
          </w:p>
        </w:tc>
        <w:tc>
          <w:tcPr>
            <w:tcW w:w="3246" w:type="dxa"/>
            <w:vAlign w:val="bottom"/>
          </w:tcPr>
          <w:p>
            <w:pPr>
              <w:jc w:val="left"/>
              <w:rPr>
                <w:sz w:val="15"/>
              </w:rPr>
            </w:pPr>
            <w:r>
              <w:rPr>
                <w:sz w:val="15"/>
              </w:rPr>
              <w:t>中国光大银行股份有限公司</w:t>
            </w:r>
            <w:r>
              <w:rPr>
                <w:rFonts w:hint="eastAsia"/>
                <w:sz w:val="15"/>
              </w:rPr>
              <w:t>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16</w:t>
            </w:r>
          </w:p>
        </w:tc>
        <w:tc>
          <w:tcPr>
            <w:tcW w:w="3589" w:type="dxa"/>
            <w:vAlign w:val="bottom"/>
          </w:tcPr>
          <w:p>
            <w:pPr>
              <w:jc w:val="left"/>
              <w:rPr>
                <w:sz w:val="15"/>
              </w:rPr>
            </w:pPr>
            <w:r>
              <w:rPr>
                <w:sz w:val="15"/>
              </w:rPr>
              <w:t>安邦保险集团股份有限公司</w:t>
            </w:r>
          </w:p>
        </w:tc>
        <w:tc>
          <w:tcPr>
            <w:tcW w:w="855" w:type="dxa"/>
          </w:tcPr>
          <w:p>
            <w:pPr>
              <w:jc w:val="center"/>
              <w:rPr>
                <w:sz w:val="15"/>
              </w:rPr>
            </w:pPr>
            <w:r>
              <w:rPr>
                <w:rFonts w:hint="eastAsia"/>
                <w:sz w:val="15"/>
              </w:rPr>
              <w:t>44</w:t>
            </w:r>
          </w:p>
        </w:tc>
        <w:tc>
          <w:tcPr>
            <w:tcW w:w="3246" w:type="dxa"/>
            <w:vAlign w:val="bottom"/>
          </w:tcPr>
          <w:p>
            <w:pPr>
              <w:jc w:val="left"/>
              <w:rPr>
                <w:sz w:val="15"/>
              </w:rPr>
            </w:pPr>
            <w:r>
              <w:rPr>
                <w:sz w:val="15"/>
              </w:rPr>
              <w:t>嘉实资本管理有限公司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17</w:t>
            </w:r>
          </w:p>
        </w:tc>
        <w:tc>
          <w:tcPr>
            <w:tcW w:w="3589" w:type="dxa"/>
            <w:vAlign w:val="bottom"/>
          </w:tcPr>
          <w:p>
            <w:pPr>
              <w:jc w:val="left"/>
              <w:rPr>
                <w:sz w:val="15"/>
              </w:rPr>
            </w:pPr>
            <w:r>
              <w:rPr>
                <w:sz w:val="15"/>
              </w:rPr>
              <w:t>中国人民银行营业管理部</w:t>
            </w:r>
          </w:p>
        </w:tc>
        <w:tc>
          <w:tcPr>
            <w:tcW w:w="855" w:type="dxa"/>
          </w:tcPr>
          <w:p>
            <w:pPr>
              <w:jc w:val="center"/>
              <w:rPr>
                <w:sz w:val="15"/>
              </w:rPr>
            </w:pPr>
            <w:r>
              <w:rPr>
                <w:rFonts w:hint="eastAsia"/>
                <w:sz w:val="15"/>
              </w:rPr>
              <w:t>45</w:t>
            </w:r>
          </w:p>
        </w:tc>
        <w:tc>
          <w:tcPr>
            <w:tcW w:w="3246" w:type="dxa"/>
            <w:vAlign w:val="bottom"/>
          </w:tcPr>
          <w:p>
            <w:pPr>
              <w:jc w:val="left"/>
              <w:rPr>
                <w:sz w:val="15"/>
              </w:rPr>
            </w:pPr>
            <w:r>
              <w:rPr>
                <w:sz w:val="15"/>
              </w:rPr>
              <w:t>江苏银行股份有限公司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18</w:t>
            </w:r>
          </w:p>
        </w:tc>
        <w:tc>
          <w:tcPr>
            <w:tcW w:w="3589" w:type="dxa"/>
            <w:vAlign w:val="bottom"/>
          </w:tcPr>
          <w:p>
            <w:pPr>
              <w:jc w:val="left"/>
              <w:rPr>
                <w:sz w:val="15"/>
              </w:rPr>
            </w:pPr>
            <w:r>
              <w:rPr>
                <w:sz w:val="15"/>
              </w:rPr>
              <w:t>国都证券股份有限公司</w:t>
            </w:r>
          </w:p>
        </w:tc>
        <w:tc>
          <w:tcPr>
            <w:tcW w:w="855" w:type="dxa"/>
          </w:tcPr>
          <w:p>
            <w:pPr>
              <w:jc w:val="center"/>
              <w:rPr>
                <w:sz w:val="15"/>
              </w:rPr>
            </w:pPr>
            <w:r>
              <w:rPr>
                <w:rFonts w:hint="eastAsia"/>
                <w:sz w:val="15"/>
              </w:rPr>
              <w:t>46</w:t>
            </w:r>
          </w:p>
        </w:tc>
        <w:tc>
          <w:tcPr>
            <w:tcW w:w="3246" w:type="dxa"/>
            <w:vAlign w:val="bottom"/>
          </w:tcPr>
          <w:p>
            <w:pPr>
              <w:jc w:val="left"/>
              <w:rPr>
                <w:sz w:val="15"/>
              </w:rPr>
            </w:pPr>
            <w:r>
              <w:rPr>
                <w:sz w:val="15"/>
              </w:rPr>
              <w:t>中信信托有限责任公司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19</w:t>
            </w:r>
          </w:p>
        </w:tc>
        <w:tc>
          <w:tcPr>
            <w:tcW w:w="3589" w:type="dxa"/>
            <w:vAlign w:val="bottom"/>
          </w:tcPr>
          <w:p>
            <w:pPr>
              <w:jc w:val="left"/>
              <w:rPr>
                <w:sz w:val="15"/>
              </w:rPr>
            </w:pPr>
            <w:r>
              <w:rPr>
                <w:sz w:val="15"/>
              </w:rPr>
              <w:t>上海浦东发展银行股份有限公司</w:t>
            </w:r>
            <w:r>
              <w:rPr>
                <w:rFonts w:hint="eastAsia"/>
                <w:sz w:val="15"/>
              </w:rPr>
              <w:t>总行</w:t>
            </w:r>
          </w:p>
        </w:tc>
        <w:tc>
          <w:tcPr>
            <w:tcW w:w="855" w:type="dxa"/>
          </w:tcPr>
          <w:p>
            <w:pPr>
              <w:jc w:val="center"/>
              <w:rPr>
                <w:sz w:val="15"/>
              </w:rPr>
            </w:pPr>
            <w:r>
              <w:rPr>
                <w:rFonts w:hint="eastAsia"/>
                <w:sz w:val="15"/>
              </w:rPr>
              <w:t>47</w:t>
            </w:r>
          </w:p>
        </w:tc>
        <w:tc>
          <w:tcPr>
            <w:tcW w:w="3246" w:type="dxa"/>
            <w:vAlign w:val="bottom"/>
          </w:tcPr>
          <w:p>
            <w:pPr>
              <w:jc w:val="left"/>
              <w:rPr>
                <w:sz w:val="15"/>
              </w:rPr>
            </w:pPr>
            <w:r>
              <w:rPr>
                <w:sz w:val="15"/>
              </w:rPr>
              <w:t>国信证券股份有限公司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20</w:t>
            </w:r>
          </w:p>
        </w:tc>
        <w:tc>
          <w:tcPr>
            <w:tcW w:w="3589" w:type="dxa"/>
            <w:vAlign w:val="bottom"/>
          </w:tcPr>
          <w:p>
            <w:pPr>
              <w:jc w:val="left"/>
              <w:rPr>
                <w:sz w:val="15"/>
              </w:rPr>
            </w:pPr>
            <w:r>
              <w:rPr>
                <w:sz w:val="15"/>
              </w:rPr>
              <w:t>泛海控股股份有限公司</w:t>
            </w:r>
            <w:r>
              <w:rPr>
                <w:rFonts w:hint="eastAsia"/>
                <w:sz w:val="15"/>
              </w:rPr>
              <w:t>（民生基金）</w:t>
            </w:r>
          </w:p>
        </w:tc>
        <w:tc>
          <w:tcPr>
            <w:tcW w:w="855" w:type="dxa"/>
          </w:tcPr>
          <w:p>
            <w:pPr>
              <w:jc w:val="center"/>
              <w:rPr>
                <w:sz w:val="15"/>
              </w:rPr>
            </w:pPr>
            <w:r>
              <w:rPr>
                <w:rFonts w:hint="eastAsia"/>
                <w:sz w:val="15"/>
              </w:rPr>
              <w:t>48</w:t>
            </w:r>
          </w:p>
        </w:tc>
        <w:tc>
          <w:tcPr>
            <w:tcW w:w="3246" w:type="dxa"/>
            <w:vAlign w:val="bottom"/>
          </w:tcPr>
          <w:p>
            <w:pPr>
              <w:jc w:val="left"/>
              <w:rPr>
                <w:sz w:val="15"/>
              </w:rPr>
            </w:pPr>
            <w:r>
              <w:rPr>
                <w:sz w:val="15"/>
              </w:rPr>
              <w:t>中关村发展集团股份有限公司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21</w:t>
            </w:r>
          </w:p>
        </w:tc>
        <w:tc>
          <w:tcPr>
            <w:tcW w:w="3589" w:type="dxa"/>
            <w:vAlign w:val="bottom"/>
          </w:tcPr>
          <w:p>
            <w:pPr>
              <w:jc w:val="left"/>
              <w:rPr>
                <w:sz w:val="15"/>
              </w:rPr>
            </w:pPr>
            <w:r>
              <w:rPr>
                <w:sz w:val="15"/>
              </w:rPr>
              <w:t>中国农业银行股份有限公司</w:t>
            </w:r>
            <w:r>
              <w:rPr>
                <w:rFonts w:hint="eastAsia"/>
                <w:sz w:val="15"/>
              </w:rPr>
              <w:t>总行</w:t>
            </w:r>
          </w:p>
        </w:tc>
        <w:tc>
          <w:tcPr>
            <w:tcW w:w="855" w:type="dxa"/>
          </w:tcPr>
          <w:p>
            <w:pPr>
              <w:jc w:val="center"/>
              <w:rPr>
                <w:sz w:val="15"/>
              </w:rPr>
            </w:pPr>
            <w:r>
              <w:rPr>
                <w:rFonts w:hint="eastAsia"/>
                <w:sz w:val="15"/>
              </w:rPr>
              <w:t>49</w:t>
            </w:r>
          </w:p>
        </w:tc>
        <w:tc>
          <w:tcPr>
            <w:tcW w:w="3246" w:type="dxa"/>
            <w:vAlign w:val="bottom"/>
          </w:tcPr>
          <w:p>
            <w:pPr>
              <w:jc w:val="left"/>
              <w:rPr>
                <w:sz w:val="15"/>
              </w:rPr>
            </w:pPr>
            <w:r>
              <w:rPr>
                <w:sz w:val="15"/>
              </w:rPr>
              <w:t>江信基金管理有限公司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22</w:t>
            </w:r>
          </w:p>
        </w:tc>
        <w:tc>
          <w:tcPr>
            <w:tcW w:w="3589" w:type="dxa"/>
            <w:vAlign w:val="bottom"/>
          </w:tcPr>
          <w:p>
            <w:pPr>
              <w:jc w:val="left"/>
              <w:rPr>
                <w:sz w:val="15"/>
              </w:rPr>
            </w:pPr>
            <w:r>
              <w:rPr>
                <w:sz w:val="15"/>
              </w:rPr>
              <w:t>中国银行业监督管理委员会</w:t>
            </w:r>
          </w:p>
        </w:tc>
        <w:tc>
          <w:tcPr>
            <w:tcW w:w="855" w:type="dxa"/>
          </w:tcPr>
          <w:p>
            <w:pPr>
              <w:jc w:val="center"/>
              <w:rPr>
                <w:sz w:val="15"/>
              </w:rPr>
            </w:pPr>
            <w:r>
              <w:rPr>
                <w:rFonts w:hint="eastAsia"/>
                <w:sz w:val="15"/>
              </w:rPr>
              <w:t>50</w:t>
            </w:r>
          </w:p>
        </w:tc>
        <w:tc>
          <w:tcPr>
            <w:tcW w:w="3246" w:type="dxa"/>
            <w:vAlign w:val="bottom"/>
          </w:tcPr>
          <w:p>
            <w:pPr>
              <w:jc w:val="left"/>
              <w:rPr>
                <w:sz w:val="15"/>
              </w:rPr>
            </w:pPr>
            <w:r>
              <w:rPr>
                <w:rFonts w:hint="eastAsia"/>
                <w:sz w:val="15"/>
              </w:rPr>
              <w:t>中国华融资产管理股份有限公司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23</w:t>
            </w:r>
          </w:p>
        </w:tc>
        <w:tc>
          <w:tcPr>
            <w:tcW w:w="3589" w:type="dxa"/>
            <w:vAlign w:val="bottom"/>
          </w:tcPr>
          <w:p>
            <w:pPr>
              <w:jc w:val="left"/>
              <w:rPr>
                <w:sz w:val="15"/>
              </w:rPr>
            </w:pPr>
            <w:r>
              <w:rPr>
                <w:rFonts w:hint="eastAsia"/>
                <w:sz w:val="15"/>
              </w:rPr>
              <w:t>深圳市直属行政机关（公务员）</w:t>
            </w:r>
          </w:p>
        </w:tc>
        <w:tc>
          <w:tcPr>
            <w:tcW w:w="855" w:type="dxa"/>
          </w:tcPr>
          <w:p>
            <w:pPr>
              <w:jc w:val="center"/>
              <w:rPr>
                <w:sz w:val="15"/>
              </w:rPr>
            </w:pPr>
            <w:r>
              <w:rPr>
                <w:rFonts w:hint="eastAsia"/>
                <w:sz w:val="15"/>
              </w:rPr>
              <w:t>51</w:t>
            </w:r>
          </w:p>
        </w:tc>
        <w:tc>
          <w:tcPr>
            <w:tcW w:w="3246" w:type="dxa"/>
            <w:vAlign w:val="bottom"/>
          </w:tcPr>
          <w:p>
            <w:pPr>
              <w:jc w:val="left"/>
              <w:rPr>
                <w:sz w:val="15"/>
              </w:rPr>
            </w:pPr>
            <w:r>
              <w:rPr>
                <w:sz w:val="15"/>
              </w:rPr>
              <w:t>汇添富资本管理有限公司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24</w:t>
            </w:r>
          </w:p>
        </w:tc>
        <w:tc>
          <w:tcPr>
            <w:tcW w:w="3589" w:type="dxa"/>
            <w:vAlign w:val="bottom"/>
          </w:tcPr>
          <w:p>
            <w:pPr>
              <w:jc w:val="left"/>
              <w:rPr>
                <w:sz w:val="15"/>
              </w:rPr>
            </w:pPr>
            <w:r>
              <w:rPr>
                <w:sz w:val="15"/>
              </w:rPr>
              <w:t>招商银行股份有限公司</w:t>
            </w:r>
            <w:r>
              <w:rPr>
                <w:rFonts w:hint="eastAsia"/>
                <w:sz w:val="15"/>
              </w:rPr>
              <w:t>总行</w:t>
            </w:r>
          </w:p>
        </w:tc>
        <w:tc>
          <w:tcPr>
            <w:tcW w:w="855" w:type="dxa"/>
          </w:tcPr>
          <w:p>
            <w:pPr>
              <w:jc w:val="center"/>
              <w:rPr>
                <w:sz w:val="15"/>
              </w:rPr>
            </w:pPr>
            <w:r>
              <w:rPr>
                <w:rFonts w:hint="eastAsia"/>
                <w:sz w:val="15"/>
              </w:rPr>
              <w:t>52</w:t>
            </w:r>
          </w:p>
        </w:tc>
        <w:tc>
          <w:tcPr>
            <w:tcW w:w="3246" w:type="dxa"/>
            <w:vAlign w:val="bottom"/>
          </w:tcPr>
          <w:p>
            <w:pPr>
              <w:jc w:val="left"/>
              <w:rPr>
                <w:sz w:val="15"/>
              </w:rPr>
            </w:pPr>
            <w:r>
              <w:rPr>
                <w:sz w:val="15"/>
              </w:rPr>
              <w:t>华西证券股份有限公司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25</w:t>
            </w:r>
          </w:p>
        </w:tc>
        <w:tc>
          <w:tcPr>
            <w:tcW w:w="3589" w:type="dxa"/>
            <w:vAlign w:val="bottom"/>
          </w:tcPr>
          <w:p>
            <w:pPr>
              <w:jc w:val="left"/>
              <w:rPr>
                <w:sz w:val="15"/>
              </w:rPr>
            </w:pPr>
            <w:r>
              <w:rPr>
                <w:sz w:val="15"/>
              </w:rPr>
              <w:t>国融证券股份有限公司</w:t>
            </w:r>
          </w:p>
        </w:tc>
        <w:tc>
          <w:tcPr>
            <w:tcW w:w="855" w:type="dxa"/>
          </w:tcPr>
          <w:p>
            <w:pPr>
              <w:jc w:val="center"/>
              <w:rPr>
                <w:sz w:val="15"/>
              </w:rPr>
            </w:pPr>
            <w:r>
              <w:rPr>
                <w:rFonts w:hint="eastAsia"/>
                <w:sz w:val="15"/>
              </w:rPr>
              <w:t>53</w:t>
            </w:r>
          </w:p>
        </w:tc>
        <w:tc>
          <w:tcPr>
            <w:tcW w:w="3246" w:type="dxa"/>
            <w:vAlign w:val="bottom"/>
          </w:tcPr>
          <w:p>
            <w:pPr>
              <w:jc w:val="left"/>
              <w:rPr>
                <w:sz w:val="15"/>
              </w:rPr>
            </w:pPr>
            <w:r>
              <w:rPr>
                <w:sz w:val="15"/>
              </w:rPr>
              <w:t>华夏银行股份有限公司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26</w:t>
            </w:r>
          </w:p>
        </w:tc>
        <w:tc>
          <w:tcPr>
            <w:tcW w:w="3589" w:type="dxa"/>
            <w:vAlign w:val="bottom"/>
          </w:tcPr>
          <w:p>
            <w:pPr>
              <w:jc w:val="left"/>
              <w:rPr>
                <w:sz w:val="15"/>
              </w:rPr>
            </w:pPr>
            <w:r>
              <w:rPr>
                <w:sz w:val="15"/>
              </w:rPr>
              <w:t>中关村发展集团股份有限公司</w:t>
            </w:r>
          </w:p>
        </w:tc>
        <w:tc>
          <w:tcPr>
            <w:tcW w:w="855" w:type="dxa"/>
          </w:tcPr>
          <w:p>
            <w:pPr>
              <w:jc w:val="center"/>
              <w:rPr>
                <w:sz w:val="15"/>
              </w:rPr>
            </w:pPr>
            <w:r>
              <w:rPr>
                <w:rFonts w:hint="eastAsia"/>
                <w:sz w:val="15"/>
              </w:rPr>
              <w:t>54</w:t>
            </w:r>
          </w:p>
        </w:tc>
        <w:tc>
          <w:tcPr>
            <w:tcW w:w="3246" w:type="dxa"/>
            <w:vAlign w:val="bottom"/>
          </w:tcPr>
          <w:p>
            <w:pPr>
              <w:jc w:val="left"/>
              <w:rPr>
                <w:sz w:val="15"/>
              </w:rPr>
            </w:pPr>
            <w:r>
              <w:rPr>
                <w:sz w:val="15"/>
              </w:rPr>
              <w:t>中国银行股份有限公司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27</w:t>
            </w:r>
          </w:p>
        </w:tc>
        <w:tc>
          <w:tcPr>
            <w:tcW w:w="3589" w:type="dxa"/>
            <w:vAlign w:val="bottom"/>
          </w:tcPr>
          <w:p>
            <w:pPr>
              <w:jc w:val="left"/>
              <w:rPr>
                <w:sz w:val="15"/>
              </w:rPr>
            </w:pPr>
            <w:r>
              <w:rPr>
                <w:sz w:val="15"/>
              </w:rPr>
              <w:t>宁波银行股份有限公司</w:t>
            </w:r>
          </w:p>
        </w:tc>
        <w:tc>
          <w:tcPr>
            <w:tcW w:w="855" w:type="dxa"/>
          </w:tcPr>
          <w:p>
            <w:pPr>
              <w:jc w:val="center"/>
              <w:rPr>
                <w:sz w:val="15"/>
              </w:rPr>
            </w:pPr>
            <w:r>
              <w:rPr>
                <w:rFonts w:hint="eastAsia"/>
                <w:sz w:val="15"/>
              </w:rPr>
              <w:t>55</w:t>
            </w:r>
          </w:p>
        </w:tc>
        <w:tc>
          <w:tcPr>
            <w:tcW w:w="3246" w:type="dxa"/>
            <w:vAlign w:val="bottom"/>
          </w:tcPr>
          <w:p>
            <w:pPr>
              <w:jc w:val="left"/>
              <w:rPr>
                <w:sz w:val="15"/>
              </w:rPr>
            </w:pPr>
            <w:r>
              <w:rPr>
                <w:sz w:val="15"/>
              </w:rPr>
              <w:t>中国工商银行</w:t>
            </w:r>
            <w:r>
              <w:rPr>
                <w:rFonts w:hint="eastAsia"/>
                <w:sz w:val="15"/>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jc w:val="center"/>
              <w:rPr>
                <w:sz w:val="15"/>
              </w:rPr>
            </w:pPr>
            <w:r>
              <w:rPr>
                <w:rFonts w:hint="eastAsia"/>
                <w:sz w:val="15"/>
              </w:rPr>
              <w:t>28</w:t>
            </w:r>
          </w:p>
        </w:tc>
        <w:tc>
          <w:tcPr>
            <w:tcW w:w="3589" w:type="dxa"/>
            <w:vAlign w:val="bottom"/>
          </w:tcPr>
          <w:p>
            <w:pPr>
              <w:jc w:val="left"/>
              <w:rPr>
                <w:sz w:val="15"/>
              </w:rPr>
            </w:pPr>
            <w:r>
              <w:rPr>
                <w:sz w:val="15"/>
              </w:rPr>
              <w:t>汉诺威再保险股份公司</w:t>
            </w:r>
          </w:p>
        </w:tc>
        <w:tc>
          <w:tcPr>
            <w:tcW w:w="855" w:type="dxa"/>
          </w:tcPr>
          <w:p>
            <w:pPr>
              <w:jc w:val="center"/>
              <w:rPr>
                <w:sz w:val="15"/>
              </w:rPr>
            </w:pPr>
            <w:r>
              <w:rPr>
                <w:rFonts w:hint="eastAsia"/>
                <w:sz w:val="15"/>
              </w:rPr>
              <w:t>56</w:t>
            </w:r>
          </w:p>
        </w:tc>
        <w:tc>
          <w:tcPr>
            <w:tcW w:w="3246" w:type="dxa"/>
            <w:vAlign w:val="bottom"/>
          </w:tcPr>
          <w:p>
            <w:pPr>
              <w:jc w:val="left"/>
              <w:rPr>
                <w:sz w:val="15"/>
              </w:rPr>
            </w:pPr>
            <w:r>
              <w:rPr>
                <w:sz w:val="15"/>
              </w:rPr>
              <w:t>中国建筑装饰集团有限公司</w:t>
            </w:r>
          </w:p>
        </w:tc>
      </w:tr>
    </w:tbl>
    <w:p>
      <w:pPr>
        <w:spacing w:line="360" w:lineRule="auto"/>
        <w:rPr>
          <w:rFonts w:ascii="宋体" w:hAnsi="宋体" w:cs="宋体"/>
          <w:sz w:val="24"/>
          <w:szCs w:val="24"/>
        </w:rPr>
      </w:pPr>
    </w:p>
    <w:p>
      <w:pPr>
        <w:spacing w:line="360" w:lineRule="auto"/>
        <w:jc w:val="center"/>
        <w:rPr>
          <w:rFonts w:hint="eastAsia"/>
          <w:b/>
          <w:sz w:val="24"/>
          <w:lang w:val="en-US" w:eastAsia="zh-CN"/>
        </w:rPr>
      </w:pPr>
      <w:r>
        <w:drawing>
          <wp:inline distT="0" distB="0" distL="114300" distR="114300">
            <wp:extent cx="5269865" cy="3265170"/>
            <wp:effectExtent l="0" t="0" r="6985"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center"/>
        <w:rPr>
          <w:b/>
          <w:sz w:val="24"/>
        </w:rPr>
      </w:pPr>
      <w:r>
        <w:rPr>
          <w:rFonts w:hint="eastAsia"/>
          <w:b/>
          <w:sz w:val="24"/>
          <w:lang w:eastAsia="zh-CN"/>
        </w:rPr>
        <w:t>第二届届</w:t>
      </w:r>
      <w:r>
        <w:rPr>
          <w:rFonts w:hint="eastAsia"/>
          <w:b/>
          <w:sz w:val="24"/>
        </w:rPr>
        <w:t>金融硕士</w:t>
      </w:r>
      <w:r>
        <w:rPr>
          <w:b/>
          <w:sz w:val="24"/>
        </w:rPr>
        <w:t>（</w:t>
      </w:r>
      <w:r>
        <w:rPr>
          <w:rFonts w:hint="eastAsia"/>
          <w:b/>
          <w:sz w:val="24"/>
        </w:rPr>
        <w:t>风险管理方向</w:t>
      </w:r>
      <w:r>
        <w:rPr>
          <w:b/>
          <w:sz w:val="24"/>
        </w:rPr>
        <w:t>）</w:t>
      </w:r>
      <w:r>
        <w:rPr>
          <w:rFonts w:hint="eastAsia"/>
          <w:b/>
          <w:sz w:val="24"/>
        </w:rPr>
        <w:t>毕业生就业</w:t>
      </w:r>
      <w:r>
        <w:rPr>
          <w:b/>
          <w:sz w:val="24"/>
        </w:rPr>
        <w:t>去向统计</w:t>
      </w:r>
      <w:r>
        <w:rPr>
          <w:rFonts w:hint="eastAsia"/>
          <w:b/>
          <w:sz w:val="24"/>
        </w:rPr>
        <w:t>表</w:t>
      </w:r>
    </w:p>
    <w:p>
      <w:pPr>
        <w:spacing w:line="360" w:lineRule="auto"/>
        <w:rPr>
          <w:rFonts w:ascii="宋体" w:hAnsi="宋体" w:cs="宋体"/>
          <w:sz w:val="24"/>
          <w:szCs w:val="24"/>
        </w:rPr>
      </w:pPr>
    </w:p>
    <w:tbl>
      <w:tblPr>
        <w:tblStyle w:val="6"/>
        <w:tblW w:w="8504" w:type="dxa"/>
        <w:tblInd w:w="0" w:type="dxa"/>
        <w:tblLayout w:type="fixed"/>
        <w:tblCellMar>
          <w:top w:w="0" w:type="dxa"/>
          <w:left w:w="0" w:type="dxa"/>
          <w:bottom w:w="0" w:type="dxa"/>
          <w:right w:w="0" w:type="dxa"/>
        </w:tblCellMar>
      </w:tblPr>
      <w:tblGrid>
        <w:gridCol w:w="876"/>
        <w:gridCol w:w="3225"/>
        <w:gridCol w:w="986"/>
        <w:gridCol w:w="3417"/>
      </w:tblGrid>
      <w:tr>
        <w:tblPrEx>
          <w:tblLayout w:type="fixed"/>
          <w:tblCellMar>
            <w:top w:w="0" w:type="dxa"/>
            <w:left w:w="0" w:type="dxa"/>
            <w:bottom w:w="0" w:type="dxa"/>
            <w:right w:w="0" w:type="dxa"/>
          </w:tblCellMar>
        </w:tblPrEx>
        <w:tc>
          <w:tcPr>
            <w:tcW w:w="8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序号</w:t>
            </w:r>
          </w:p>
        </w:tc>
        <w:tc>
          <w:tcPr>
            <w:tcW w:w="322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就业单位</w:t>
            </w:r>
          </w:p>
        </w:tc>
        <w:tc>
          <w:tcPr>
            <w:tcW w:w="986"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序号</w:t>
            </w:r>
          </w:p>
        </w:tc>
        <w:tc>
          <w:tcPr>
            <w:tcW w:w="3417"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就业单位</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北京三元食品股份有限公司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北京市海淀区国有资产投资经营有限公司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安永（中国）企业咨询有限公司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渤海证券股份有限公司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长富汇银投资基金管理（北京）有限公司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东吴证券股份有限公司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凯联体育文化有限公司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申万宏源证券有限公司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中国邮政储蓄银行</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宁波银行股份有限公司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唐山银行股份有限公司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交通银行股份有限公司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中信建投证券股份有限公司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浙商银行股份有限公司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交通银行股份有限公司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同方金控资产管理有限公司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弘康人寿保险股份有限公司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际华集团股份有限公司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上海证券交易所</w:t>
            </w:r>
          </w:p>
        </w:tc>
      </w:tr>
      <w:tr>
        <w:tblPrEx>
          <w:tblLayout w:type="fixed"/>
          <w:tblCellMar>
            <w:top w:w="0" w:type="dxa"/>
            <w:left w:w="0" w:type="dxa"/>
            <w:bottom w:w="0" w:type="dxa"/>
            <w:right w:w="0" w:type="dxa"/>
          </w:tblCellMar>
        </w:tblPrEx>
        <w:trPr>
          <w:trHeight w:val="360" w:hRule="atLeas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深圳证券交易所</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中华人民共和国外交部</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中海信托股份有限公司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中国农业银行股份有限公司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浙江省稠州商业银行股份有限公司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中国光大银行股份有限公司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中国农业银行股份有限公司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长江证券股份有限公司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华夏银行股份有限公司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国泰君安证券股份有限公司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中国工商银行股份有限公司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湘財证券股份有限公司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上海银行股份有限公司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中国农业银行股份有限公司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19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49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平安综合金融服务有限公司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唐山银行股份有限公司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浙商银行股份有限公司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太平洋证券股份有限公司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招商证券股份有限公司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中国邮政储蓄银行股份有限公司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重庆银行股份有限公司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深圳市投资控股有限公司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上海浦东发展银行股份有限公司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浙商银行股份有限公司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平安综合金融服务有限公司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中国民生银行</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工银金融租赁有限公司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浙商银行股份有限公司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道富信息科技（浙江）有限公司</w:t>
            </w:r>
            <w:r>
              <w:rPr>
                <w:sz w:val="15"/>
                <w:lang w:val="en-US" w:eastAsia="zh-CN"/>
              </w:rPr>
              <w:t xml:space="preserve"> </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易方达基金管理有限公司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杭州银行股份有限公司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招商银行股份有限公司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29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江苏省财政厅</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59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上海国际信托有限公司</w:t>
            </w:r>
          </w:p>
        </w:tc>
      </w:tr>
      <w:tr>
        <w:tblPrEx>
          <w:tblLayout w:type="fixed"/>
          <w:tblCellMar>
            <w:top w:w="0" w:type="dxa"/>
            <w:left w:w="0" w:type="dxa"/>
            <w:bottom w:w="0" w:type="dxa"/>
            <w:right w:w="0" w:type="dxa"/>
          </w:tblCellMar>
        </w:tblPrEx>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jc w:val="center"/>
              <w:rPr>
                <w:rFonts w:hint="eastAsia"/>
                <w:sz w:val="15"/>
              </w:rPr>
            </w:pPr>
            <w:r>
              <w:rPr>
                <w:rFonts w:hint="eastAsia"/>
                <w:sz w:val="15"/>
              </w:rPr>
              <w:t>30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jc w:val="left"/>
              <w:rPr>
                <w:rFonts w:hint="eastAsia"/>
                <w:sz w:val="15"/>
              </w:rPr>
            </w:pPr>
            <w:r>
              <w:rPr>
                <w:rFonts w:hint="default"/>
                <w:sz w:val="15"/>
                <w:lang w:val="en-US" w:eastAsia="zh-CN"/>
              </w:rPr>
              <w:t>上海清算信息技术有限公司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tcPr>
          <w:p>
            <w:pPr>
              <w:jc w:val="center"/>
              <w:rPr>
                <w:rFonts w:hint="eastAsia"/>
                <w:sz w:val="15"/>
              </w:rPr>
            </w:pPr>
          </w:p>
        </w:tc>
        <w:tc>
          <w:tcPr>
            <w:tcW w:w="3417"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sz w:val="15"/>
              </w:rPr>
            </w:pPr>
          </w:p>
        </w:tc>
      </w:tr>
    </w:tbl>
    <w:p>
      <w:pPr>
        <w:spacing w:line="360" w:lineRule="auto"/>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24"/>
    <w:rsid w:val="000136B9"/>
    <w:rsid w:val="00020979"/>
    <w:rsid w:val="000221A6"/>
    <w:rsid w:val="00093F6F"/>
    <w:rsid w:val="000A091C"/>
    <w:rsid w:val="000A0E7F"/>
    <w:rsid w:val="000E7D23"/>
    <w:rsid w:val="000F0CA1"/>
    <w:rsid w:val="00104FBB"/>
    <w:rsid w:val="001063F1"/>
    <w:rsid w:val="00122A8A"/>
    <w:rsid w:val="001262D4"/>
    <w:rsid w:val="00136DAC"/>
    <w:rsid w:val="001535F6"/>
    <w:rsid w:val="001540BE"/>
    <w:rsid w:val="0015704E"/>
    <w:rsid w:val="00185412"/>
    <w:rsid w:val="001959CC"/>
    <w:rsid w:val="00201A00"/>
    <w:rsid w:val="002216F0"/>
    <w:rsid w:val="00244B6A"/>
    <w:rsid w:val="002D626F"/>
    <w:rsid w:val="002F41A6"/>
    <w:rsid w:val="00301C51"/>
    <w:rsid w:val="00334D7C"/>
    <w:rsid w:val="00346922"/>
    <w:rsid w:val="0035724B"/>
    <w:rsid w:val="00362FB9"/>
    <w:rsid w:val="00391CD5"/>
    <w:rsid w:val="003B2E59"/>
    <w:rsid w:val="003C0F6D"/>
    <w:rsid w:val="003C1E39"/>
    <w:rsid w:val="003D1F1E"/>
    <w:rsid w:val="00435D76"/>
    <w:rsid w:val="00461430"/>
    <w:rsid w:val="00475DA1"/>
    <w:rsid w:val="004A24CF"/>
    <w:rsid w:val="004A7DFE"/>
    <w:rsid w:val="004C3FC8"/>
    <w:rsid w:val="004D15CD"/>
    <w:rsid w:val="005013EF"/>
    <w:rsid w:val="00537F9F"/>
    <w:rsid w:val="005466CB"/>
    <w:rsid w:val="005C14C5"/>
    <w:rsid w:val="005E023C"/>
    <w:rsid w:val="005F5BF6"/>
    <w:rsid w:val="00601043"/>
    <w:rsid w:val="006519DE"/>
    <w:rsid w:val="006740E2"/>
    <w:rsid w:val="00674FB8"/>
    <w:rsid w:val="00686D12"/>
    <w:rsid w:val="006E6D12"/>
    <w:rsid w:val="00716BEB"/>
    <w:rsid w:val="007473B4"/>
    <w:rsid w:val="00771A33"/>
    <w:rsid w:val="00780B54"/>
    <w:rsid w:val="007863C9"/>
    <w:rsid w:val="007B3BF7"/>
    <w:rsid w:val="007D488F"/>
    <w:rsid w:val="007D5C30"/>
    <w:rsid w:val="007D6F1D"/>
    <w:rsid w:val="007E5AD2"/>
    <w:rsid w:val="007E6154"/>
    <w:rsid w:val="007F51F5"/>
    <w:rsid w:val="007F5680"/>
    <w:rsid w:val="00805A88"/>
    <w:rsid w:val="0081153A"/>
    <w:rsid w:val="00835CF7"/>
    <w:rsid w:val="0087031C"/>
    <w:rsid w:val="00887990"/>
    <w:rsid w:val="00892606"/>
    <w:rsid w:val="008A445F"/>
    <w:rsid w:val="008A4BD3"/>
    <w:rsid w:val="008A5DA3"/>
    <w:rsid w:val="008C7494"/>
    <w:rsid w:val="008E183B"/>
    <w:rsid w:val="008E5A3C"/>
    <w:rsid w:val="00966710"/>
    <w:rsid w:val="00966993"/>
    <w:rsid w:val="00972FDD"/>
    <w:rsid w:val="0099184F"/>
    <w:rsid w:val="009A59E0"/>
    <w:rsid w:val="009D1FD4"/>
    <w:rsid w:val="009F02A4"/>
    <w:rsid w:val="00A21BA1"/>
    <w:rsid w:val="00A60D4B"/>
    <w:rsid w:val="00A93733"/>
    <w:rsid w:val="00AC1DF1"/>
    <w:rsid w:val="00AC3C0C"/>
    <w:rsid w:val="00B12CF9"/>
    <w:rsid w:val="00B57E50"/>
    <w:rsid w:val="00B60D5A"/>
    <w:rsid w:val="00B6341F"/>
    <w:rsid w:val="00B65FA7"/>
    <w:rsid w:val="00B707C5"/>
    <w:rsid w:val="00B977E9"/>
    <w:rsid w:val="00BB5B1A"/>
    <w:rsid w:val="00BB6933"/>
    <w:rsid w:val="00BE73AB"/>
    <w:rsid w:val="00BF7727"/>
    <w:rsid w:val="00C06155"/>
    <w:rsid w:val="00C1364B"/>
    <w:rsid w:val="00C26252"/>
    <w:rsid w:val="00C70D99"/>
    <w:rsid w:val="00C833AB"/>
    <w:rsid w:val="00CF3B94"/>
    <w:rsid w:val="00D14E4D"/>
    <w:rsid w:val="00DC1F69"/>
    <w:rsid w:val="00DD4BAB"/>
    <w:rsid w:val="00DE12D0"/>
    <w:rsid w:val="00E126E5"/>
    <w:rsid w:val="00E209FB"/>
    <w:rsid w:val="00E27339"/>
    <w:rsid w:val="00E334B1"/>
    <w:rsid w:val="00E71B24"/>
    <w:rsid w:val="00E73E8D"/>
    <w:rsid w:val="00E93C18"/>
    <w:rsid w:val="00EA1BB1"/>
    <w:rsid w:val="00F31C16"/>
    <w:rsid w:val="00F92CF0"/>
    <w:rsid w:val="00FA0112"/>
    <w:rsid w:val="00FA15D7"/>
    <w:rsid w:val="00FE2EDF"/>
    <w:rsid w:val="00FF5FF7"/>
    <w:rsid w:val="0F831B8B"/>
    <w:rsid w:val="107A3F7A"/>
    <w:rsid w:val="10BD0BAF"/>
    <w:rsid w:val="145076CB"/>
    <w:rsid w:val="218D7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 w:type="character" w:customStyle="1" w:styleId="10">
    <w:name w:val="批注框文本 Char"/>
    <w:basedOn w:val="5"/>
    <w:link w:val="2"/>
    <w:semiHidden/>
    <w:qFormat/>
    <w:uiPriority w:val="99"/>
    <w:rPr>
      <w:rFonts w:ascii="Calibri" w:hAnsi="Calibri" w:eastAsia="宋体" w:cs="Times New Roman"/>
      <w:sz w:val="18"/>
      <w:szCs w:val="18"/>
    </w:rPr>
  </w:style>
  <w:style w:type="character" w:customStyle="1" w:styleId="11">
    <w:name w:val="font11"/>
    <w:basedOn w:val="5"/>
    <w:qFormat/>
    <w:uiPriority w:val="0"/>
    <w:rPr>
      <w:rFonts w:hint="default" w:ascii="Helvetica" w:hAnsi="Helvetica" w:eastAsia="Helvetica" w:cs="Helvetica"/>
      <w:color w:val="3E3E3E"/>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3601;&#19994;&#24773;&#20917;\2017&#23626;&#23601;&#19994;&#24773;&#20917;&#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200"/>
              <a:t>1</a:t>
            </a:r>
            <a:r>
              <a:rPr altLang="zh-CN" sz="1200"/>
              <a:t>、</a:t>
            </a:r>
            <a:r>
              <a:rPr lang="zh-CN" altLang="en-US" sz="1200"/>
              <a:t>首届金融硕士（风险管理方向）毕业生就业单位类别</a:t>
            </a:r>
            <a:endParaRPr lang="zh-CN" altLang="en-US" sz="1050" b="1"/>
          </a:p>
        </c:rich>
      </c:tx>
      <c:layout>
        <c:manualLayout>
          <c:xMode val="edge"/>
          <c:yMode val="edge"/>
          <c:x val="0.0508668432458467"/>
          <c:y val="0.0286677908937605"/>
        </c:manualLayout>
      </c:layout>
      <c:overlay val="0"/>
    </c:title>
    <c:autoTitleDeleted val="0"/>
    <c:plotArea>
      <c:layout>
        <c:manualLayout>
          <c:layoutTarget val="inner"/>
          <c:xMode val="edge"/>
          <c:yMode val="edge"/>
          <c:x val="0.130026799281669"/>
          <c:y val="0.138769435998718"/>
          <c:w val="0.443937007874016"/>
          <c:h val="0.835129024713495"/>
        </c:manualLayout>
      </c:layout>
      <c:pieChart>
        <c:varyColors val="1"/>
        <c:ser>
          <c:idx val="0"/>
          <c:order val="0"/>
          <c:tx>
            <c:strRef>
              <c:f>Sheet1!$B$1</c:f>
              <c:strCache>
                <c:ptCount val="1"/>
                <c:pt idx="0">
                  <c:v>人数</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银行</c:v>
                </c:pt>
                <c:pt idx="1">
                  <c:v>证券公司（或其子公司）</c:v>
                </c:pt>
                <c:pt idx="2">
                  <c:v>基金（或其子公司）</c:v>
                </c:pt>
                <c:pt idx="3">
                  <c:v>中央机关</c:v>
                </c:pt>
                <c:pt idx="4">
                  <c:v>其他金融机构</c:v>
                </c:pt>
              </c:strCache>
            </c:strRef>
          </c:cat>
          <c:val>
            <c:numRef>
              <c:f>Sheet1!$B$2:$B$6</c:f>
              <c:numCache>
                <c:formatCode>General</c:formatCode>
                <c:ptCount val="5"/>
                <c:pt idx="0">
                  <c:v>21</c:v>
                </c:pt>
                <c:pt idx="1">
                  <c:v>13</c:v>
                </c:pt>
                <c:pt idx="2">
                  <c:v>4</c:v>
                </c:pt>
                <c:pt idx="3">
                  <c:v>3</c:v>
                </c:pt>
                <c:pt idx="4">
                  <c:v>15</c:v>
                </c:pt>
              </c:numCache>
            </c:numRef>
          </c:val>
        </c:ser>
        <c:dLbls>
          <c:showLegendKey val="0"/>
          <c:showVal val="0"/>
          <c:showCatName val="0"/>
          <c:showSerName val="0"/>
          <c:showPercent val="1"/>
          <c:showBubbleSize val="0"/>
          <c:showLeaderLines val="0"/>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b="1">
                <a:latin typeface="宋体" panose="02010600030101010101" charset="-122"/>
                <a:ea typeface="宋体" panose="02010600030101010101" charset="-122"/>
              </a:rPr>
              <a:t>2</a:t>
            </a:r>
            <a:r>
              <a:rPr altLang="en-US" sz="1200" b="1">
                <a:latin typeface="宋体" panose="02010600030101010101" charset="-122"/>
                <a:ea typeface="宋体" panose="02010600030101010101" charset="-122"/>
              </a:rPr>
              <a:t>、</a:t>
            </a:r>
            <a:r>
              <a:rPr sz="1200" b="1">
                <a:latin typeface="宋体" panose="02010600030101010101" charset="-122"/>
                <a:ea typeface="宋体" panose="02010600030101010101" charset="-122"/>
              </a:rPr>
              <a:t>第二届金融硕士（风险管理方向）毕业生就业单位类别</a:t>
            </a:r>
            <a:endParaRPr sz="1200" b="1">
              <a:latin typeface="宋体" panose="02010600030101010101" charset="-122"/>
              <a:ea typeface="宋体" panose="02010600030101010101" charset="-122"/>
            </a:endParaRPr>
          </a:p>
        </c:rich>
      </c:tx>
      <c:layout>
        <c:manualLayout>
          <c:xMode val="edge"/>
          <c:yMode val="edge"/>
          <c:x val="0.0867639818911057"/>
          <c:y val="0.0403535741737125"/>
        </c:manualLayout>
      </c:layout>
      <c:overlay val="0"/>
      <c:spPr>
        <a:noFill/>
        <a:ln>
          <a:noFill/>
        </a:ln>
        <a:effectLst/>
      </c:spPr>
    </c:title>
    <c:autoTitleDeleted val="0"/>
    <c:plotArea>
      <c:layout/>
      <c:pieChart>
        <c:varyColors val="1"/>
        <c:ser>
          <c:idx val="0"/>
          <c:order val="0"/>
          <c:tx>
            <c:strRef>
              <c:f>[2017届就业情况分析.xlsx]Sheet1!$C$1</c:f>
              <c:strCache>
                <c:ptCount val="1"/>
                <c:pt idx="0">
                  <c:v>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[2017届就业情况分析.xlsx]Sheet1!$B$2:$B$6</c:f>
              <c:strCache>
                <c:ptCount val="5"/>
                <c:pt idx="0">
                  <c:v>银行</c:v>
                </c:pt>
                <c:pt idx="1">
                  <c:v>证券公司（或其子公司）</c:v>
                </c:pt>
                <c:pt idx="2">
                  <c:v>基金公司（或其子公司）</c:v>
                </c:pt>
                <c:pt idx="3">
                  <c:v>中央机关</c:v>
                </c:pt>
                <c:pt idx="4">
                  <c:v>其他金融机构</c:v>
                </c:pt>
              </c:strCache>
            </c:strRef>
          </c:cat>
          <c:val>
            <c:numRef>
              <c:f>[2017届就业情况分析.xlsx]Sheet1!$C$2:$C$6</c:f>
              <c:numCache>
                <c:formatCode>0%</c:formatCode>
                <c:ptCount val="5"/>
                <c:pt idx="0">
                  <c:v>0.491525423728814</c:v>
                </c:pt>
                <c:pt idx="1">
                  <c:v>0.169491525423729</c:v>
                </c:pt>
                <c:pt idx="2">
                  <c:v>0.0338983050847458</c:v>
                </c:pt>
                <c:pt idx="3">
                  <c:v>0.0847457627118644</c:v>
                </c:pt>
                <c:pt idx="4">
                  <c:v>0.220338983050847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RUC</Company>
  <Pages>4</Pages>
  <Words>384</Words>
  <Characters>2195</Characters>
  <Lines>18</Lines>
  <Paragraphs>5</Paragraphs>
  <ScaleCrop>false</ScaleCrop>
  <LinksUpToDate>false</LinksUpToDate>
  <CharactersWithSpaces>2574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2017-04-12T01:07:00Z</dcterms:created>
  <dc:creator>任伟明</dc:creator>
  <cp:lastModifiedBy>马润有</cp:lastModifiedBy>
  <cp:lastPrinted>2017-04-12T01:03:00Z</cp:lastPrinted>
  <dcterms:modified xsi:type="dcterms:W3CDTF">2018-04-13T01:39:23Z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